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43" w:rsidRPr="000B07F0" w:rsidRDefault="00E06F43" w:rsidP="00E06F43">
      <w:pPr>
        <w:spacing w:after="0"/>
        <w:jc w:val="both"/>
        <w:rPr>
          <w:rFonts w:ascii="Times New Roman" w:hAnsi="Times New Roman" w:cs="Times New Roman"/>
          <w:sz w:val="24"/>
          <w:szCs w:val="24"/>
        </w:rPr>
      </w:pPr>
    </w:p>
    <w:p w:rsidR="0006404D" w:rsidRPr="00492175" w:rsidRDefault="00E06F43" w:rsidP="00F72DE9">
      <w:pPr>
        <w:spacing w:after="0"/>
        <w:jc w:val="both"/>
        <w:rPr>
          <w:rFonts w:ascii="Times New Roman" w:eastAsia="Times New Roman" w:hAnsi="Times New Roman" w:cs="Times New Roman"/>
          <w:b/>
          <w:noProof/>
          <w:color w:val="000000" w:themeColor="text1"/>
          <w:sz w:val="24"/>
          <w:szCs w:val="24"/>
        </w:rPr>
      </w:pPr>
      <w:r w:rsidRPr="00492175">
        <w:rPr>
          <w:rFonts w:ascii="Times New Roman" w:eastAsia="Times New Roman" w:hAnsi="Times New Roman" w:cs="Times New Roman"/>
          <w:b/>
          <w:noProof/>
          <w:color w:val="000000" w:themeColor="text1"/>
          <w:sz w:val="24"/>
          <w:szCs w:val="24"/>
        </w:rPr>
        <w:t xml:space="preserve">Bilirkişilik </w:t>
      </w:r>
      <w:r w:rsidR="003D7DC0" w:rsidRPr="00492175">
        <w:rPr>
          <w:rFonts w:ascii="Times New Roman" w:eastAsia="Times New Roman" w:hAnsi="Times New Roman" w:cs="Times New Roman"/>
          <w:b/>
          <w:noProof/>
          <w:color w:val="000000" w:themeColor="text1"/>
          <w:sz w:val="24"/>
          <w:szCs w:val="24"/>
        </w:rPr>
        <w:t>K</w:t>
      </w:r>
      <w:r w:rsidRPr="00492175">
        <w:rPr>
          <w:rFonts w:ascii="Times New Roman" w:eastAsia="Times New Roman" w:hAnsi="Times New Roman" w:cs="Times New Roman"/>
          <w:b/>
          <w:noProof/>
          <w:color w:val="000000" w:themeColor="text1"/>
          <w:sz w:val="24"/>
          <w:szCs w:val="24"/>
        </w:rPr>
        <w:t xml:space="preserve">anunu </w:t>
      </w:r>
      <w:r w:rsidR="0006404D" w:rsidRPr="00492175">
        <w:rPr>
          <w:rFonts w:ascii="Times New Roman" w:eastAsia="Times New Roman" w:hAnsi="Times New Roman" w:cs="Times New Roman"/>
          <w:b/>
          <w:noProof/>
          <w:color w:val="000000" w:themeColor="text1"/>
          <w:sz w:val="24"/>
          <w:szCs w:val="24"/>
        </w:rPr>
        <w:t>Ü</w:t>
      </w:r>
      <w:r w:rsidRPr="00492175">
        <w:rPr>
          <w:rFonts w:ascii="Times New Roman" w:eastAsia="Times New Roman" w:hAnsi="Times New Roman" w:cs="Times New Roman"/>
          <w:b/>
          <w:noProof/>
          <w:color w:val="000000" w:themeColor="text1"/>
          <w:sz w:val="24"/>
          <w:szCs w:val="24"/>
        </w:rPr>
        <w:t>zerine</w:t>
      </w:r>
      <w:r w:rsidR="00F72DE9" w:rsidRPr="00492175">
        <w:rPr>
          <w:rFonts w:ascii="Times New Roman" w:eastAsia="Times New Roman" w:hAnsi="Times New Roman" w:cs="Times New Roman"/>
          <w:b/>
          <w:noProof/>
          <w:color w:val="000000" w:themeColor="text1"/>
          <w:sz w:val="24"/>
          <w:szCs w:val="24"/>
        </w:rPr>
        <w:t xml:space="preserve"> </w:t>
      </w:r>
    </w:p>
    <w:p w:rsidR="00E06F43" w:rsidRPr="00492175" w:rsidRDefault="00D46D19" w:rsidP="00F72DE9">
      <w:pPr>
        <w:spacing w:after="0"/>
        <w:jc w:val="both"/>
        <w:rPr>
          <w:rFonts w:ascii="Times New Roman" w:eastAsia="Times New Roman" w:hAnsi="Times New Roman" w:cs="Times New Roman"/>
          <w:b/>
          <w:noProof/>
          <w:color w:val="000000" w:themeColor="text1"/>
          <w:sz w:val="24"/>
          <w:szCs w:val="24"/>
        </w:rPr>
      </w:pPr>
      <w:r w:rsidRPr="00492175">
        <w:rPr>
          <w:rFonts w:ascii="Times New Roman" w:eastAsia="Times New Roman" w:hAnsi="Times New Roman" w:cs="Times New Roman"/>
          <w:b/>
          <w:noProof/>
          <w:color w:val="000000" w:themeColor="text1"/>
          <w:sz w:val="24"/>
          <w:szCs w:val="24"/>
        </w:rPr>
        <w:t>16</w:t>
      </w:r>
      <w:r w:rsidR="00F72DE9" w:rsidRPr="00492175">
        <w:rPr>
          <w:rFonts w:ascii="Times New Roman" w:eastAsia="Times New Roman" w:hAnsi="Times New Roman" w:cs="Times New Roman"/>
          <w:b/>
          <w:noProof/>
          <w:color w:val="000000" w:themeColor="text1"/>
          <w:sz w:val="24"/>
          <w:szCs w:val="24"/>
        </w:rPr>
        <w:t>.11.2016</w:t>
      </w:r>
    </w:p>
    <w:p w:rsidR="00E06F43" w:rsidRPr="00492175" w:rsidRDefault="00E06F43" w:rsidP="00E06F43">
      <w:pPr>
        <w:spacing w:after="0"/>
        <w:ind w:left="924"/>
        <w:jc w:val="both"/>
        <w:rPr>
          <w:rFonts w:ascii="Times New Roman" w:hAnsi="Times New Roman" w:cs="Times New Roman"/>
          <w:color w:val="000000" w:themeColor="text1"/>
          <w:sz w:val="24"/>
          <w:szCs w:val="24"/>
        </w:rPr>
      </w:pPr>
    </w:p>
    <w:p w:rsidR="00E06F43" w:rsidRPr="00492175" w:rsidRDefault="00E06F43" w:rsidP="003D7DC0">
      <w:pPr>
        <w:tabs>
          <w:tab w:val="left" w:pos="142"/>
        </w:tabs>
        <w:spacing w:after="0"/>
        <w:jc w:val="both"/>
        <w:rPr>
          <w:rFonts w:ascii="Times New Roman" w:eastAsia="Times New Roman" w:hAnsi="Times New Roman" w:cs="Times New Roman"/>
          <w:b/>
          <w:noProof/>
          <w:color w:val="000000" w:themeColor="text1"/>
          <w:sz w:val="24"/>
          <w:szCs w:val="24"/>
        </w:rPr>
      </w:pPr>
      <w:r w:rsidRPr="00492175">
        <w:rPr>
          <w:rFonts w:ascii="Times New Roman" w:eastAsia="Times New Roman" w:hAnsi="Times New Roman" w:cs="Times New Roman"/>
          <w:noProof/>
          <w:color w:val="000000" w:themeColor="text1"/>
          <w:sz w:val="24"/>
          <w:szCs w:val="24"/>
        </w:rPr>
        <w:t>Adalet Bakanlığı</w:t>
      </w:r>
      <w:r w:rsidR="00504053" w:rsidRPr="00492175">
        <w:rPr>
          <w:rFonts w:ascii="Times New Roman" w:eastAsia="Times New Roman" w:hAnsi="Times New Roman" w:cs="Times New Roman"/>
          <w:noProof/>
          <w:color w:val="000000" w:themeColor="text1"/>
          <w:sz w:val="24"/>
          <w:szCs w:val="24"/>
        </w:rPr>
        <w:t>’</w:t>
      </w:r>
      <w:r w:rsidRPr="00492175">
        <w:rPr>
          <w:rFonts w:ascii="Times New Roman" w:eastAsia="Times New Roman" w:hAnsi="Times New Roman" w:cs="Times New Roman"/>
          <w:noProof/>
          <w:color w:val="000000" w:themeColor="text1"/>
          <w:sz w:val="24"/>
          <w:szCs w:val="24"/>
        </w:rPr>
        <w:t>nca hazırlanan ve TBMM Adalet Komisyonu</w:t>
      </w:r>
      <w:r w:rsidR="00504053" w:rsidRPr="00492175">
        <w:rPr>
          <w:rFonts w:ascii="Times New Roman" w:eastAsia="Times New Roman" w:hAnsi="Times New Roman" w:cs="Times New Roman"/>
          <w:noProof/>
          <w:color w:val="000000" w:themeColor="text1"/>
          <w:sz w:val="24"/>
          <w:szCs w:val="24"/>
        </w:rPr>
        <w:t>’nca değerlendirilerek TBMM G</w:t>
      </w:r>
      <w:r w:rsidRPr="00492175">
        <w:rPr>
          <w:rFonts w:ascii="Times New Roman" w:eastAsia="Times New Roman" w:hAnsi="Times New Roman" w:cs="Times New Roman"/>
          <w:noProof/>
          <w:color w:val="000000" w:themeColor="text1"/>
          <w:sz w:val="24"/>
          <w:szCs w:val="24"/>
        </w:rPr>
        <w:t xml:space="preserve">enel </w:t>
      </w:r>
      <w:r w:rsidR="00504053" w:rsidRPr="00492175">
        <w:rPr>
          <w:rFonts w:ascii="Times New Roman" w:eastAsia="Times New Roman" w:hAnsi="Times New Roman" w:cs="Times New Roman"/>
          <w:noProof/>
          <w:color w:val="000000" w:themeColor="text1"/>
          <w:sz w:val="24"/>
          <w:szCs w:val="24"/>
        </w:rPr>
        <w:t>K</w:t>
      </w:r>
      <w:r w:rsidRPr="00492175">
        <w:rPr>
          <w:rFonts w:ascii="Times New Roman" w:eastAsia="Times New Roman" w:hAnsi="Times New Roman" w:cs="Times New Roman"/>
          <w:noProof/>
          <w:color w:val="000000" w:themeColor="text1"/>
          <w:sz w:val="24"/>
          <w:szCs w:val="24"/>
        </w:rPr>
        <w:t>urulu</w:t>
      </w:r>
      <w:r w:rsidR="00504053" w:rsidRPr="00492175">
        <w:rPr>
          <w:rFonts w:ascii="Times New Roman" w:eastAsia="Times New Roman" w:hAnsi="Times New Roman" w:cs="Times New Roman"/>
          <w:noProof/>
          <w:color w:val="000000" w:themeColor="text1"/>
          <w:sz w:val="24"/>
          <w:szCs w:val="24"/>
        </w:rPr>
        <w:t xml:space="preserve"> gündemine gelen Bilirkişilik K</w:t>
      </w:r>
      <w:r w:rsidRPr="00492175">
        <w:rPr>
          <w:rFonts w:ascii="Times New Roman" w:eastAsia="Times New Roman" w:hAnsi="Times New Roman" w:cs="Times New Roman"/>
          <w:noProof/>
          <w:color w:val="000000" w:themeColor="text1"/>
          <w:sz w:val="24"/>
          <w:szCs w:val="24"/>
        </w:rPr>
        <w:t xml:space="preserve">anun </w:t>
      </w:r>
      <w:r w:rsidR="00504053" w:rsidRPr="00492175">
        <w:rPr>
          <w:rFonts w:ascii="Times New Roman" w:eastAsia="Times New Roman" w:hAnsi="Times New Roman" w:cs="Times New Roman"/>
          <w:noProof/>
          <w:color w:val="000000" w:themeColor="text1"/>
          <w:sz w:val="24"/>
          <w:szCs w:val="24"/>
        </w:rPr>
        <w:t>T</w:t>
      </w:r>
      <w:r w:rsidRPr="00492175">
        <w:rPr>
          <w:rFonts w:ascii="Times New Roman" w:eastAsia="Times New Roman" w:hAnsi="Times New Roman" w:cs="Times New Roman"/>
          <w:noProof/>
          <w:color w:val="000000" w:themeColor="text1"/>
          <w:sz w:val="24"/>
          <w:szCs w:val="24"/>
        </w:rPr>
        <w:t>asarısı</w:t>
      </w:r>
      <w:r w:rsidR="00504053" w:rsidRPr="00492175">
        <w:rPr>
          <w:rFonts w:ascii="Times New Roman" w:eastAsia="Times New Roman" w:hAnsi="Times New Roman" w:cs="Times New Roman"/>
          <w:noProof/>
          <w:color w:val="000000" w:themeColor="text1"/>
          <w:sz w:val="24"/>
          <w:szCs w:val="24"/>
        </w:rPr>
        <w:t>,</w:t>
      </w:r>
      <w:r w:rsidRPr="00492175">
        <w:rPr>
          <w:rFonts w:ascii="Times New Roman" w:eastAsia="Times New Roman" w:hAnsi="Times New Roman" w:cs="Times New Roman"/>
          <w:noProof/>
          <w:color w:val="000000" w:themeColor="text1"/>
          <w:sz w:val="24"/>
          <w:szCs w:val="24"/>
        </w:rPr>
        <w:t xml:space="preserve"> 03.11.2016 ta</w:t>
      </w:r>
      <w:r w:rsidR="00D51C33" w:rsidRPr="00492175">
        <w:rPr>
          <w:rFonts w:ascii="Times New Roman" w:eastAsia="Times New Roman" w:hAnsi="Times New Roman" w:cs="Times New Roman"/>
          <w:noProof/>
          <w:color w:val="000000" w:themeColor="text1"/>
          <w:sz w:val="24"/>
          <w:szCs w:val="24"/>
        </w:rPr>
        <w:t>rihin</w:t>
      </w:r>
      <w:r w:rsidR="00504053" w:rsidRPr="00492175">
        <w:rPr>
          <w:rFonts w:ascii="Times New Roman" w:eastAsia="Times New Roman" w:hAnsi="Times New Roman" w:cs="Times New Roman"/>
          <w:noProof/>
          <w:color w:val="000000" w:themeColor="text1"/>
          <w:sz w:val="24"/>
          <w:szCs w:val="24"/>
        </w:rPr>
        <w:t>de</w:t>
      </w:r>
      <w:r w:rsidR="00D51C33" w:rsidRPr="00492175">
        <w:rPr>
          <w:rFonts w:ascii="Times New Roman" w:eastAsia="Times New Roman" w:hAnsi="Times New Roman" w:cs="Times New Roman"/>
          <w:noProof/>
          <w:color w:val="000000" w:themeColor="text1"/>
          <w:sz w:val="24"/>
          <w:szCs w:val="24"/>
        </w:rPr>
        <w:t xml:space="preserve"> TBMM</w:t>
      </w:r>
      <w:r w:rsidR="00504053" w:rsidRPr="00492175">
        <w:rPr>
          <w:rFonts w:ascii="Times New Roman" w:eastAsia="Times New Roman" w:hAnsi="Times New Roman" w:cs="Times New Roman"/>
          <w:noProof/>
          <w:color w:val="000000" w:themeColor="text1"/>
          <w:sz w:val="24"/>
          <w:szCs w:val="24"/>
        </w:rPr>
        <w:t xml:space="preserve"> tarafından</w:t>
      </w:r>
      <w:r w:rsidR="00D51C33" w:rsidRPr="00492175">
        <w:rPr>
          <w:rFonts w:ascii="Times New Roman" w:eastAsia="Times New Roman" w:hAnsi="Times New Roman" w:cs="Times New Roman"/>
          <w:noProof/>
          <w:color w:val="000000" w:themeColor="text1"/>
          <w:sz w:val="24"/>
          <w:szCs w:val="24"/>
        </w:rPr>
        <w:t xml:space="preserve"> kabul edilmiş, </w:t>
      </w:r>
      <w:r w:rsidR="00504053" w:rsidRPr="00492175">
        <w:rPr>
          <w:rFonts w:ascii="Times New Roman" w:eastAsia="Times New Roman" w:hAnsi="Times New Roman" w:cs="Times New Roman"/>
          <w:noProof/>
          <w:color w:val="000000" w:themeColor="text1"/>
          <w:sz w:val="24"/>
          <w:szCs w:val="24"/>
        </w:rPr>
        <w:t xml:space="preserve">ancak </w:t>
      </w:r>
      <w:r w:rsidR="00D51C33" w:rsidRPr="00492175">
        <w:rPr>
          <w:rFonts w:ascii="Times New Roman" w:eastAsia="Times New Roman" w:hAnsi="Times New Roman" w:cs="Times New Roman"/>
          <w:b/>
          <w:noProof/>
          <w:color w:val="000000" w:themeColor="text1"/>
          <w:sz w:val="24"/>
          <w:szCs w:val="24"/>
        </w:rPr>
        <w:t xml:space="preserve">Resmi </w:t>
      </w:r>
      <w:r w:rsidR="00504053" w:rsidRPr="00492175">
        <w:rPr>
          <w:rFonts w:ascii="Times New Roman" w:eastAsia="Times New Roman" w:hAnsi="Times New Roman" w:cs="Times New Roman"/>
          <w:b/>
          <w:noProof/>
          <w:color w:val="000000" w:themeColor="text1"/>
          <w:sz w:val="24"/>
          <w:szCs w:val="24"/>
        </w:rPr>
        <w:t>G</w:t>
      </w:r>
      <w:r w:rsidR="00D51C33" w:rsidRPr="00492175">
        <w:rPr>
          <w:rFonts w:ascii="Times New Roman" w:eastAsia="Times New Roman" w:hAnsi="Times New Roman" w:cs="Times New Roman"/>
          <w:b/>
          <w:noProof/>
          <w:color w:val="000000" w:themeColor="text1"/>
          <w:sz w:val="24"/>
          <w:szCs w:val="24"/>
        </w:rPr>
        <w:t>azetede yayınlanmadığı için henüz yürürlüğe girmemiştir.</w:t>
      </w:r>
    </w:p>
    <w:p w:rsidR="00504053" w:rsidRPr="00492175" w:rsidRDefault="00504053" w:rsidP="003D7DC0">
      <w:pPr>
        <w:tabs>
          <w:tab w:val="left" w:pos="142"/>
        </w:tabs>
        <w:spacing w:after="0"/>
        <w:jc w:val="both"/>
        <w:rPr>
          <w:rFonts w:ascii="Times New Roman" w:eastAsia="Times New Roman" w:hAnsi="Times New Roman" w:cs="Times New Roman"/>
          <w:b/>
          <w:noProof/>
          <w:color w:val="000000" w:themeColor="text1"/>
          <w:sz w:val="24"/>
          <w:szCs w:val="24"/>
        </w:rPr>
      </w:pPr>
    </w:p>
    <w:p w:rsidR="00E06F43" w:rsidRPr="00492175" w:rsidRDefault="00504053" w:rsidP="00BF4B11">
      <w:pPr>
        <w:shd w:val="clear" w:color="auto" w:fill="FFFFFF"/>
        <w:spacing w:line="184" w:lineRule="atLeast"/>
        <w:jc w:val="both"/>
        <w:rPr>
          <w:rFonts w:ascii="Times New Roman" w:eastAsia="Times New Roman" w:hAnsi="Times New Roman" w:cs="Times New Roman"/>
          <w:noProof/>
          <w:color w:val="000000" w:themeColor="text1"/>
          <w:sz w:val="24"/>
          <w:szCs w:val="24"/>
        </w:rPr>
      </w:pPr>
      <w:r w:rsidRPr="00492175">
        <w:rPr>
          <w:rFonts w:ascii="Times New Roman" w:eastAsia="Times New Roman" w:hAnsi="Times New Roman" w:cs="Times New Roman"/>
          <w:noProof/>
          <w:color w:val="000000" w:themeColor="text1"/>
          <w:sz w:val="24"/>
          <w:szCs w:val="24"/>
        </w:rPr>
        <w:t>Söz konusu kanunda</w:t>
      </w:r>
      <w:r w:rsidR="00EA2AF3" w:rsidRPr="00492175">
        <w:rPr>
          <w:rFonts w:ascii="Times New Roman" w:eastAsia="Times New Roman" w:hAnsi="Times New Roman" w:cs="Times New Roman"/>
          <w:noProof/>
          <w:color w:val="000000" w:themeColor="text1"/>
          <w:sz w:val="24"/>
          <w:szCs w:val="24"/>
        </w:rPr>
        <w:t>, bilirkişilerle ilgili temel ilkeler belirlenerek bilirkişilik kurumunda önemli yapı</w:t>
      </w:r>
      <w:r w:rsidRPr="00492175">
        <w:rPr>
          <w:rFonts w:ascii="Times New Roman" w:eastAsia="Times New Roman" w:hAnsi="Times New Roman" w:cs="Times New Roman"/>
          <w:noProof/>
          <w:color w:val="000000" w:themeColor="text1"/>
          <w:sz w:val="24"/>
          <w:szCs w:val="24"/>
        </w:rPr>
        <w:t>sal değişiklikler yapılmıştır. Ş</w:t>
      </w:r>
      <w:r w:rsidR="00EA2AF3" w:rsidRPr="00492175">
        <w:rPr>
          <w:rFonts w:ascii="Times New Roman" w:eastAsia="Times New Roman" w:hAnsi="Times New Roman" w:cs="Times New Roman"/>
          <w:noProof/>
          <w:color w:val="000000" w:themeColor="text1"/>
          <w:sz w:val="24"/>
          <w:szCs w:val="24"/>
        </w:rPr>
        <w:t>öyle</w:t>
      </w:r>
      <w:r w:rsidR="0058474F" w:rsidRPr="00492175">
        <w:rPr>
          <w:rFonts w:ascii="Times New Roman" w:eastAsia="Times New Roman" w:hAnsi="Times New Roman" w:cs="Times New Roman"/>
          <w:noProof/>
          <w:color w:val="000000" w:themeColor="text1"/>
          <w:sz w:val="24"/>
          <w:szCs w:val="24"/>
        </w:rPr>
        <w:t xml:space="preserve"> </w:t>
      </w:r>
      <w:r w:rsidR="00EA2AF3" w:rsidRPr="00492175">
        <w:rPr>
          <w:rFonts w:ascii="Times New Roman" w:eastAsia="Times New Roman" w:hAnsi="Times New Roman" w:cs="Times New Roman"/>
          <w:noProof/>
          <w:color w:val="000000" w:themeColor="text1"/>
          <w:sz w:val="24"/>
          <w:szCs w:val="24"/>
        </w:rPr>
        <w:t xml:space="preserve">ki; </w:t>
      </w:r>
    </w:p>
    <w:p w:rsidR="00413061" w:rsidRPr="00492175" w:rsidRDefault="00504053" w:rsidP="00413061">
      <w:pPr>
        <w:jc w:val="both"/>
        <w:rPr>
          <w:rFonts w:ascii="Times New Roman" w:hAnsi="Times New Roman" w:cs="Times New Roman"/>
          <w:color w:val="000000" w:themeColor="text1"/>
          <w:sz w:val="24"/>
          <w:szCs w:val="24"/>
        </w:rPr>
      </w:pPr>
      <w:r w:rsidRPr="00492175">
        <w:rPr>
          <w:rFonts w:ascii="Times New Roman" w:hAnsi="Times New Roman" w:cs="Times New Roman"/>
          <w:color w:val="000000" w:themeColor="text1"/>
          <w:sz w:val="24"/>
          <w:szCs w:val="24"/>
        </w:rPr>
        <w:t>Kanunda</w:t>
      </w:r>
      <w:r w:rsidR="00413061" w:rsidRPr="00492175">
        <w:rPr>
          <w:rFonts w:ascii="Times New Roman" w:hAnsi="Times New Roman" w:cs="Times New Roman"/>
          <w:color w:val="000000" w:themeColor="text1"/>
          <w:sz w:val="24"/>
          <w:szCs w:val="24"/>
        </w:rPr>
        <w:t xml:space="preserve"> tüm yargı yolları için uygulanacak bi</w:t>
      </w:r>
      <w:r w:rsidRPr="00492175">
        <w:rPr>
          <w:rFonts w:ascii="Times New Roman" w:hAnsi="Times New Roman" w:cs="Times New Roman"/>
          <w:color w:val="000000" w:themeColor="text1"/>
          <w:sz w:val="24"/>
          <w:szCs w:val="24"/>
        </w:rPr>
        <w:t>r bilirkişi sistemi getirmektedir.</w:t>
      </w:r>
      <w:r w:rsidR="00413061" w:rsidRPr="00492175">
        <w:rPr>
          <w:rFonts w:ascii="Times New Roman" w:hAnsi="Times New Roman" w:cs="Times New Roman"/>
          <w:color w:val="000000" w:themeColor="text1"/>
          <w:sz w:val="24"/>
          <w:szCs w:val="24"/>
        </w:rPr>
        <w:t xml:space="preserve"> Adli, idari ve askeri yargıda görev alacak bilirkişilere ilişkin kurallar bir kanunla belirlenmeye çalışılmıştır. Bilirkişilerin yargılama içindeki rollerinin ve uymakla yükümlü oldukları kuralların dağınık bir halde yer aldığı mevzuatın bu dağınıklığının giderilmesi ve bilirkişilik hizmetlerine ilişkin uygulama birliğinin sağlanması bakımından olumlu değerlendirmek mümkündür. Bununla birlikte </w:t>
      </w:r>
      <w:r w:rsidR="0058026A" w:rsidRPr="00492175">
        <w:rPr>
          <w:rFonts w:ascii="Times New Roman" w:hAnsi="Times New Roman" w:cs="Times New Roman"/>
          <w:color w:val="000000" w:themeColor="text1"/>
          <w:sz w:val="24"/>
          <w:szCs w:val="24"/>
        </w:rPr>
        <w:t xml:space="preserve">Kanundaki </w:t>
      </w:r>
      <w:r w:rsidR="00413061" w:rsidRPr="00492175">
        <w:rPr>
          <w:rFonts w:ascii="Times New Roman" w:hAnsi="Times New Roman" w:cs="Times New Roman"/>
          <w:color w:val="000000" w:themeColor="text1"/>
          <w:sz w:val="24"/>
          <w:szCs w:val="24"/>
        </w:rPr>
        <w:t>bazı sorun başlıklarını özetlemek gerekirse;</w:t>
      </w:r>
    </w:p>
    <w:p w:rsidR="00EA2AF3" w:rsidRPr="00492175" w:rsidRDefault="00EA2AF3" w:rsidP="00EA2AF3">
      <w:pPr>
        <w:pStyle w:val="ListeParagraf"/>
        <w:numPr>
          <w:ilvl w:val="0"/>
          <w:numId w:val="4"/>
        </w:numPr>
        <w:tabs>
          <w:tab w:val="left" w:pos="142"/>
        </w:tabs>
        <w:spacing w:after="0"/>
        <w:jc w:val="both"/>
        <w:rPr>
          <w:rFonts w:ascii="Times New Roman" w:eastAsia="Times New Roman" w:hAnsi="Times New Roman" w:cs="Times New Roman"/>
          <w:noProof/>
          <w:color w:val="000000" w:themeColor="text1"/>
          <w:sz w:val="24"/>
          <w:szCs w:val="24"/>
        </w:rPr>
      </w:pPr>
      <w:r w:rsidRPr="00492175">
        <w:rPr>
          <w:rFonts w:ascii="Times New Roman" w:eastAsia="Times New Roman" w:hAnsi="Times New Roman" w:cs="Times New Roman"/>
          <w:noProof/>
          <w:color w:val="000000" w:themeColor="text1"/>
          <w:sz w:val="24"/>
          <w:szCs w:val="24"/>
        </w:rPr>
        <w:t>Bilirkişilik müessesi</w:t>
      </w:r>
      <w:r w:rsidR="00413061" w:rsidRPr="00492175">
        <w:rPr>
          <w:rFonts w:ascii="Times New Roman" w:eastAsia="Times New Roman" w:hAnsi="Times New Roman" w:cs="Times New Roman"/>
          <w:noProof/>
          <w:color w:val="000000" w:themeColor="text1"/>
          <w:sz w:val="24"/>
          <w:szCs w:val="24"/>
        </w:rPr>
        <w:t xml:space="preserve"> b</w:t>
      </w:r>
      <w:r w:rsidR="0026031E" w:rsidRPr="00492175">
        <w:rPr>
          <w:rFonts w:ascii="Times New Roman" w:eastAsia="Times New Roman" w:hAnsi="Times New Roman" w:cs="Times New Roman"/>
          <w:noProof/>
          <w:color w:val="000000" w:themeColor="text1"/>
          <w:sz w:val="24"/>
          <w:szCs w:val="24"/>
        </w:rPr>
        <w:t>ilirkişilik tanımına aykırı olarak</w:t>
      </w:r>
      <w:r w:rsidR="00E06F43" w:rsidRPr="00492175">
        <w:rPr>
          <w:rFonts w:ascii="Times New Roman" w:eastAsia="Times New Roman" w:hAnsi="Times New Roman" w:cs="Times New Roman"/>
          <w:noProof/>
          <w:color w:val="000000" w:themeColor="text1"/>
          <w:sz w:val="24"/>
          <w:szCs w:val="24"/>
        </w:rPr>
        <w:t xml:space="preserve"> merke</w:t>
      </w:r>
      <w:r w:rsidRPr="00492175">
        <w:rPr>
          <w:rFonts w:ascii="Times New Roman" w:eastAsia="Times New Roman" w:hAnsi="Times New Roman" w:cs="Times New Roman"/>
          <w:noProof/>
          <w:color w:val="000000" w:themeColor="text1"/>
          <w:sz w:val="24"/>
          <w:szCs w:val="24"/>
        </w:rPr>
        <w:t xml:space="preserve">zi idare tarafından düzenlenmiştir. </w:t>
      </w:r>
    </w:p>
    <w:p w:rsidR="00413061" w:rsidRPr="00492175" w:rsidRDefault="00413061" w:rsidP="003D7DC0">
      <w:pPr>
        <w:pStyle w:val="ListeParagraf"/>
        <w:numPr>
          <w:ilvl w:val="0"/>
          <w:numId w:val="4"/>
        </w:numPr>
        <w:tabs>
          <w:tab w:val="left" w:pos="142"/>
        </w:tabs>
        <w:spacing w:after="0"/>
        <w:jc w:val="both"/>
        <w:rPr>
          <w:rFonts w:ascii="Times New Roman" w:eastAsia="Times New Roman" w:hAnsi="Times New Roman" w:cs="Times New Roman"/>
          <w:noProof/>
          <w:color w:val="000000" w:themeColor="text1"/>
          <w:sz w:val="24"/>
          <w:szCs w:val="24"/>
        </w:rPr>
      </w:pPr>
      <w:r w:rsidRPr="00492175">
        <w:rPr>
          <w:rFonts w:ascii="Times New Roman" w:hAnsi="Times New Roman" w:cs="Times New Roman"/>
          <w:color w:val="000000" w:themeColor="text1"/>
          <w:sz w:val="24"/>
          <w:szCs w:val="24"/>
        </w:rPr>
        <w:t xml:space="preserve">Bilirkişilik alanına getirilen yeni bir sistemle </w:t>
      </w:r>
      <w:r w:rsidR="00114F8E" w:rsidRPr="00492175">
        <w:rPr>
          <w:rFonts w:ascii="Times New Roman" w:hAnsi="Times New Roman" w:cs="Times New Roman"/>
          <w:color w:val="000000" w:themeColor="text1"/>
          <w:sz w:val="24"/>
          <w:szCs w:val="24"/>
        </w:rPr>
        <w:t xml:space="preserve">Bilirkişilik Danışma Kurulu; </w:t>
      </w:r>
      <w:r w:rsidRPr="00492175">
        <w:rPr>
          <w:rFonts w:ascii="Times New Roman" w:hAnsi="Times New Roman" w:cs="Times New Roman"/>
          <w:color w:val="000000" w:themeColor="text1"/>
          <w:sz w:val="24"/>
          <w:szCs w:val="24"/>
        </w:rPr>
        <w:t>Bilirkişilik Daire Başkanlığı ve Bölge Kurulları kurulmakta ve bu kurulların yapısı incelendiğinde ise tümüyle Adalet Bakanlığı’nın denetiminde bir yapı oluşturulduğu görülmektedir.</w:t>
      </w:r>
    </w:p>
    <w:p w:rsidR="00413061" w:rsidRPr="00FD7E1C" w:rsidRDefault="00413061" w:rsidP="0058474F">
      <w:pPr>
        <w:pStyle w:val="ListeParagraf"/>
        <w:numPr>
          <w:ilvl w:val="0"/>
          <w:numId w:val="4"/>
        </w:numPr>
        <w:tabs>
          <w:tab w:val="left" w:pos="142"/>
        </w:tabs>
        <w:spacing w:after="0"/>
        <w:jc w:val="both"/>
        <w:rPr>
          <w:rFonts w:ascii="Times New Roman" w:eastAsia="Times New Roman" w:hAnsi="Times New Roman" w:cs="Times New Roman"/>
          <w:noProof/>
          <w:color w:val="000000" w:themeColor="text1"/>
          <w:sz w:val="24"/>
          <w:szCs w:val="24"/>
          <w:highlight w:val="yellow"/>
          <w:lang w:eastAsia="tr-TR"/>
        </w:rPr>
      </w:pPr>
      <w:r w:rsidRPr="00FD7E1C">
        <w:rPr>
          <w:rFonts w:ascii="Times New Roman" w:hAnsi="Times New Roman" w:cs="Times New Roman"/>
          <w:color w:val="000000" w:themeColor="text1"/>
          <w:sz w:val="24"/>
          <w:szCs w:val="24"/>
          <w:highlight w:val="yellow"/>
        </w:rPr>
        <w:t>Ancak bu şekildeki bir düzenlemeyle; bilirkişilerin nitelikleri, eğitimi, seçimi ve denetimini yapacak olan bu yapılardan bağımsız görüş oluşturabilmesi olanaklı olmayacaktır.</w:t>
      </w:r>
    </w:p>
    <w:p w:rsidR="00114F8E" w:rsidRPr="00492175" w:rsidRDefault="00114F8E" w:rsidP="00114F8E">
      <w:pPr>
        <w:pStyle w:val="ListeParagraf"/>
        <w:numPr>
          <w:ilvl w:val="0"/>
          <w:numId w:val="4"/>
        </w:numPr>
        <w:tabs>
          <w:tab w:val="left" w:pos="142"/>
        </w:tabs>
        <w:spacing w:after="0"/>
        <w:jc w:val="both"/>
        <w:rPr>
          <w:rFonts w:ascii="Times New Roman" w:eastAsia="Times New Roman" w:hAnsi="Times New Roman" w:cs="Times New Roman"/>
          <w:noProof/>
          <w:color w:val="000000" w:themeColor="text1"/>
          <w:sz w:val="24"/>
          <w:szCs w:val="24"/>
        </w:rPr>
      </w:pPr>
      <w:r w:rsidRPr="00492175">
        <w:rPr>
          <w:rFonts w:ascii="Times New Roman" w:eastAsia="Times New Roman" w:hAnsi="Times New Roman" w:cs="Times New Roman"/>
          <w:b/>
          <w:noProof/>
          <w:color w:val="000000" w:themeColor="text1"/>
          <w:sz w:val="24"/>
          <w:szCs w:val="24"/>
        </w:rPr>
        <w:t>Bilirkişilik Danışma</w:t>
      </w:r>
      <w:r w:rsidRPr="00492175">
        <w:rPr>
          <w:rFonts w:ascii="Times New Roman" w:eastAsia="Times New Roman" w:hAnsi="Times New Roman" w:cs="Times New Roman"/>
          <w:noProof/>
          <w:color w:val="000000" w:themeColor="text1"/>
          <w:sz w:val="24"/>
          <w:szCs w:val="24"/>
        </w:rPr>
        <w:t xml:space="preserve"> </w:t>
      </w:r>
      <w:r w:rsidRPr="00492175">
        <w:rPr>
          <w:rFonts w:ascii="Times New Roman" w:eastAsia="Times New Roman" w:hAnsi="Times New Roman" w:cs="Times New Roman"/>
          <w:b/>
          <w:noProof/>
          <w:color w:val="000000" w:themeColor="text1"/>
          <w:sz w:val="24"/>
          <w:szCs w:val="24"/>
        </w:rPr>
        <w:t>Kurulunun;</w:t>
      </w:r>
      <w:r w:rsidRPr="00492175">
        <w:rPr>
          <w:rFonts w:ascii="Times New Roman" w:eastAsia="Times New Roman" w:hAnsi="Times New Roman" w:cs="Times New Roman"/>
          <w:noProof/>
          <w:color w:val="000000" w:themeColor="text1"/>
          <w:sz w:val="24"/>
          <w:szCs w:val="24"/>
        </w:rPr>
        <w:t xml:space="preserve"> 18 kurumdan gelen toplam 28 kişiden oluşması öngörülmüştür. </w:t>
      </w:r>
      <w:r w:rsidR="008107AF" w:rsidRPr="00492175">
        <w:rPr>
          <w:rFonts w:ascii="Times New Roman" w:hAnsi="Times New Roman" w:cs="Times New Roman"/>
          <w:color w:val="000000" w:themeColor="text1"/>
          <w:sz w:val="24"/>
          <w:szCs w:val="24"/>
        </w:rPr>
        <w:t xml:space="preserve">Kurulun, yüksek yargı organları, ilk derece mahkemeleri, üniversiteler ve meslek odaları temsilcilerinden oluşturulduğu görülmektedir. </w:t>
      </w:r>
      <w:r w:rsidRPr="00492175">
        <w:rPr>
          <w:rFonts w:ascii="Times New Roman" w:eastAsia="Times New Roman" w:hAnsi="Times New Roman" w:cs="Times New Roman"/>
          <w:noProof/>
          <w:color w:val="000000" w:themeColor="text1"/>
          <w:sz w:val="24"/>
          <w:szCs w:val="24"/>
        </w:rPr>
        <w:t xml:space="preserve">Bilirkişilik Danışma Kurullarında diğer meslek kuruluşları ile birlikte TMMOB’un da bir kişi ile temsil edilmesi öngörülmüştür. Kurula sadece temsili görevler verilmesi, tüm işlerin sekreterya görevini yüklenen Adalet Bakanlığı bünyesindeki </w:t>
      </w:r>
      <w:r w:rsidR="0001583A" w:rsidRPr="00492175">
        <w:rPr>
          <w:rFonts w:ascii="Times New Roman" w:eastAsia="Times New Roman" w:hAnsi="Times New Roman" w:cs="Times New Roman"/>
          <w:noProof/>
          <w:color w:val="000000" w:themeColor="text1"/>
          <w:sz w:val="24"/>
          <w:szCs w:val="24"/>
        </w:rPr>
        <w:t>D</w:t>
      </w:r>
      <w:r w:rsidRPr="00492175">
        <w:rPr>
          <w:rFonts w:ascii="Times New Roman" w:eastAsia="Times New Roman" w:hAnsi="Times New Roman" w:cs="Times New Roman"/>
          <w:noProof/>
          <w:color w:val="000000" w:themeColor="text1"/>
          <w:sz w:val="24"/>
          <w:szCs w:val="24"/>
        </w:rPr>
        <w:t xml:space="preserve">aire </w:t>
      </w:r>
      <w:r w:rsidR="0001583A" w:rsidRPr="00492175">
        <w:rPr>
          <w:rFonts w:ascii="Times New Roman" w:eastAsia="Times New Roman" w:hAnsi="Times New Roman" w:cs="Times New Roman"/>
          <w:noProof/>
          <w:color w:val="000000" w:themeColor="text1"/>
          <w:sz w:val="24"/>
          <w:szCs w:val="24"/>
        </w:rPr>
        <w:t>B</w:t>
      </w:r>
      <w:r w:rsidRPr="00492175">
        <w:rPr>
          <w:rFonts w:ascii="Times New Roman" w:eastAsia="Times New Roman" w:hAnsi="Times New Roman" w:cs="Times New Roman"/>
          <w:noProof/>
          <w:color w:val="000000" w:themeColor="text1"/>
          <w:sz w:val="24"/>
          <w:szCs w:val="24"/>
        </w:rPr>
        <w:t>aşkanlığı tarafından ya</w:t>
      </w:r>
      <w:r w:rsidR="0001583A" w:rsidRPr="00492175">
        <w:rPr>
          <w:rFonts w:ascii="Times New Roman" w:eastAsia="Times New Roman" w:hAnsi="Times New Roman" w:cs="Times New Roman"/>
          <w:noProof/>
          <w:color w:val="000000" w:themeColor="text1"/>
          <w:sz w:val="24"/>
          <w:szCs w:val="24"/>
        </w:rPr>
        <w:t>pılıyor olması Danışma Kurulunu</w:t>
      </w:r>
      <w:r w:rsidRPr="00492175">
        <w:rPr>
          <w:rFonts w:ascii="Times New Roman" w:eastAsia="Times New Roman" w:hAnsi="Times New Roman" w:cs="Times New Roman"/>
          <w:noProof/>
          <w:color w:val="000000" w:themeColor="text1"/>
          <w:sz w:val="24"/>
          <w:szCs w:val="24"/>
        </w:rPr>
        <w:t xml:space="preserve"> fonksiyonsuz hale </w:t>
      </w:r>
      <w:r w:rsidR="0001583A" w:rsidRPr="00492175">
        <w:rPr>
          <w:rFonts w:ascii="Times New Roman" w:eastAsia="Times New Roman" w:hAnsi="Times New Roman" w:cs="Times New Roman"/>
          <w:noProof/>
          <w:color w:val="000000" w:themeColor="text1"/>
          <w:sz w:val="24"/>
          <w:szCs w:val="24"/>
        </w:rPr>
        <w:t>getirmektedir.</w:t>
      </w:r>
    </w:p>
    <w:p w:rsidR="00114F8E" w:rsidRPr="00492175" w:rsidRDefault="00114F8E" w:rsidP="00114F8E">
      <w:pPr>
        <w:pStyle w:val="ListeParagraf"/>
        <w:numPr>
          <w:ilvl w:val="0"/>
          <w:numId w:val="4"/>
        </w:numPr>
        <w:tabs>
          <w:tab w:val="left" w:pos="142"/>
        </w:tabs>
        <w:spacing w:after="0"/>
        <w:jc w:val="both"/>
        <w:rPr>
          <w:rFonts w:ascii="Times New Roman" w:eastAsia="Times New Roman" w:hAnsi="Times New Roman" w:cs="Times New Roman"/>
          <w:noProof/>
          <w:color w:val="000000" w:themeColor="text1"/>
          <w:sz w:val="24"/>
          <w:szCs w:val="24"/>
        </w:rPr>
      </w:pPr>
      <w:r w:rsidRPr="00492175">
        <w:rPr>
          <w:rFonts w:ascii="Times New Roman" w:eastAsia="Times New Roman" w:hAnsi="Times New Roman" w:cs="Times New Roman"/>
          <w:b/>
          <w:noProof/>
          <w:color w:val="000000" w:themeColor="text1"/>
          <w:sz w:val="24"/>
          <w:szCs w:val="24"/>
        </w:rPr>
        <w:t>Bilirkişilik Bölge Kurulları</w:t>
      </w:r>
      <w:r w:rsidR="0001583A" w:rsidRPr="00492175">
        <w:rPr>
          <w:rFonts w:ascii="Times New Roman" w:eastAsia="Times New Roman" w:hAnsi="Times New Roman" w:cs="Times New Roman"/>
          <w:b/>
          <w:noProof/>
          <w:color w:val="000000" w:themeColor="text1"/>
          <w:sz w:val="24"/>
          <w:szCs w:val="24"/>
        </w:rPr>
        <w:t xml:space="preserve">; </w:t>
      </w:r>
      <w:r w:rsidR="0001583A" w:rsidRPr="00492175">
        <w:rPr>
          <w:rFonts w:ascii="Times New Roman" w:eastAsia="Times New Roman" w:hAnsi="Times New Roman" w:cs="Times New Roman"/>
          <w:noProof/>
          <w:color w:val="000000" w:themeColor="text1"/>
          <w:sz w:val="24"/>
          <w:szCs w:val="24"/>
        </w:rPr>
        <w:t>üyelerinin tamamı hakim ve savcılardan oluşuyor ve bu kurulda meslek odalarından herhangi bir temsilci bulunmuyor, bu hususu uygulamada özel ve teknik konularda hizmet veren bilirkişilerin sorunların</w:t>
      </w:r>
      <w:r w:rsidR="00A85100" w:rsidRPr="00492175">
        <w:rPr>
          <w:rFonts w:ascii="Times New Roman" w:eastAsia="Times New Roman" w:hAnsi="Times New Roman" w:cs="Times New Roman"/>
          <w:noProof/>
          <w:color w:val="000000" w:themeColor="text1"/>
          <w:sz w:val="24"/>
          <w:szCs w:val="24"/>
        </w:rPr>
        <w:t>ı</w:t>
      </w:r>
      <w:r w:rsidR="0001583A" w:rsidRPr="00492175">
        <w:rPr>
          <w:rFonts w:ascii="Times New Roman" w:eastAsia="Times New Roman" w:hAnsi="Times New Roman" w:cs="Times New Roman"/>
          <w:noProof/>
          <w:color w:val="000000" w:themeColor="text1"/>
          <w:sz w:val="24"/>
          <w:szCs w:val="24"/>
        </w:rPr>
        <w:t xml:space="preserve"> tespitte ve çözümlenmesi konularında bu kurulların oluşumundaki eksik olarak  görülmektedir. Kurulların başlıca görevleri</w:t>
      </w:r>
      <w:r w:rsidR="004E1665" w:rsidRPr="00492175">
        <w:rPr>
          <w:rFonts w:ascii="Times New Roman" w:eastAsia="Times New Roman" w:hAnsi="Times New Roman" w:cs="Times New Roman"/>
          <w:noProof/>
          <w:color w:val="000000" w:themeColor="text1"/>
          <w:sz w:val="24"/>
          <w:szCs w:val="24"/>
        </w:rPr>
        <w:t xml:space="preserve"> arasında</w:t>
      </w:r>
      <w:r w:rsidR="0001583A" w:rsidRPr="00492175">
        <w:rPr>
          <w:rFonts w:ascii="Times New Roman" w:eastAsia="Times New Roman" w:hAnsi="Times New Roman" w:cs="Times New Roman"/>
          <w:noProof/>
          <w:color w:val="000000" w:themeColor="text1"/>
          <w:sz w:val="24"/>
          <w:szCs w:val="24"/>
        </w:rPr>
        <w:t>; b</w:t>
      </w:r>
      <w:r w:rsidRPr="00492175">
        <w:rPr>
          <w:rFonts w:ascii="Times New Roman" w:eastAsia="Times New Roman" w:hAnsi="Times New Roman" w:cs="Times New Roman"/>
          <w:noProof/>
          <w:color w:val="000000" w:themeColor="text1"/>
          <w:sz w:val="24"/>
          <w:szCs w:val="24"/>
        </w:rPr>
        <w:t>ilirkişiliğe kabule ve bilirkişilerin sicile ve listeye kaydedilmesine karar vermek, temel ve alt uzmanlık alanlarına göre bili</w:t>
      </w:r>
      <w:r w:rsidR="0001583A" w:rsidRPr="00492175">
        <w:rPr>
          <w:rFonts w:ascii="Times New Roman" w:eastAsia="Times New Roman" w:hAnsi="Times New Roman" w:cs="Times New Roman"/>
          <w:noProof/>
          <w:color w:val="000000" w:themeColor="text1"/>
          <w:sz w:val="24"/>
          <w:szCs w:val="24"/>
        </w:rPr>
        <w:t>rkişilik listelerini oluşturmak,</w:t>
      </w:r>
      <w:r w:rsidRPr="00492175">
        <w:rPr>
          <w:rFonts w:ascii="Times New Roman" w:eastAsia="Times New Roman" w:hAnsi="Times New Roman" w:cs="Times New Roman"/>
          <w:noProof/>
          <w:color w:val="000000" w:themeColor="text1"/>
          <w:sz w:val="24"/>
          <w:szCs w:val="24"/>
        </w:rPr>
        <w:t xml:space="preserve"> </w:t>
      </w:r>
      <w:r w:rsidR="0001583A" w:rsidRPr="00492175">
        <w:rPr>
          <w:rFonts w:ascii="Times New Roman" w:eastAsia="Times New Roman" w:hAnsi="Times New Roman" w:cs="Times New Roman"/>
          <w:noProof/>
          <w:color w:val="000000" w:themeColor="text1"/>
          <w:sz w:val="24"/>
          <w:szCs w:val="24"/>
        </w:rPr>
        <w:t>b</w:t>
      </w:r>
      <w:r w:rsidRPr="00492175">
        <w:rPr>
          <w:rFonts w:ascii="Times New Roman" w:eastAsia="Times New Roman" w:hAnsi="Times New Roman" w:cs="Times New Roman"/>
          <w:noProof/>
          <w:color w:val="000000" w:themeColor="text1"/>
          <w:sz w:val="24"/>
          <w:szCs w:val="24"/>
        </w:rPr>
        <w:t xml:space="preserve">ilirkişilerin sicil ve listeden </w:t>
      </w:r>
      <w:r w:rsidRPr="00492175">
        <w:rPr>
          <w:rFonts w:ascii="Times New Roman" w:eastAsia="Times New Roman" w:hAnsi="Times New Roman" w:cs="Times New Roman"/>
          <w:noProof/>
          <w:color w:val="000000" w:themeColor="text1"/>
          <w:sz w:val="24"/>
          <w:szCs w:val="24"/>
        </w:rPr>
        <w:lastRenderedPageBreak/>
        <w:t xml:space="preserve">çıkarılmasına karar vermek, bilirkişilerin denetimini yapmak ve performansını ölçmek yer alıyor. </w:t>
      </w:r>
    </w:p>
    <w:p w:rsidR="008107AF" w:rsidRPr="00492175" w:rsidRDefault="008107AF" w:rsidP="008107AF">
      <w:pPr>
        <w:pStyle w:val="ListeParagraf"/>
        <w:numPr>
          <w:ilvl w:val="0"/>
          <w:numId w:val="4"/>
        </w:numPr>
        <w:spacing w:after="0" w:line="240" w:lineRule="auto"/>
        <w:jc w:val="both"/>
        <w:rPr>
          <w:rFonts w:ascii="Times New Roman" w:hAnsi="Times New Roman" w:cs="Times New Roman"/>
          <w:color w:val="000000" w:themeColor="text1"/>
          <w:sz w:val="24"/>
          <w:szCs w:val="24"/>
        </w:rPr>
      </w:pPr>
      <w:r w:rsidRPr="00492175">
        <w:rPr>
          <w:rFonts w:ascii="Times New Roman" w:hAnsi="Times New Roman" w:cs="Times New Roman"/>
          <w:color w:val="000000" w:themeColor="text1"/>
          <w:sz w:val="24"/>
          <w:szCs w:val="24"/>
        </w:rPr>
        <w:t xml:space="preserve">Yasada Bölge Kurullarının listeden silme, inceleme ve araştırma sonucunda verdiği yasaklama kararları gibi işlemlerine itiraz ve dava hakkı </w:t>
      </w:r>
      <w:r w:rsidR="008C573E" w:rsidRPr="00492175">
        <w:rPr>
          <w:rFonts w:ascii="Times New Roman" w:hAnsi="Times New Roman" w:cs="Times New Roman"/>
          <w:color w:val="000000" w:themeColor="text1"/>
          <w:sz w:val="24"/>
          <w:szCs w:val="24"/>
        </w:rPr>
        <w:t xml:space="preserve">ayrı bir maddede </w:t>
      </w:r>
      <w:r w:rsidRPr="00492175">
        <w:rPr>
          <w:rFonts w:ascii="Times New Roman" w:hAnsi="Times New Roman" w:cs="Times New Roman"/>
          <w:color w:val="000000" w:themeColor="text1"/>
          <w:sz w:val="24"/>
          <w:szCs w:val="24"/>
        </w:rPr>
        <w:t xml:space="preserve">düzenlenmiştir. Dava açma idari yargıdaki dava açma süresine göre kısa tutulmuştur. İtirazın aynı kurula yapılması etkin bir başvuru yolu değildir. </w:t>
      </w:r>
    </w:p>
    <w:p w:rsidR="00114F8E" w:rsidRPr="00492175" w:rsidRDefault="00114F8E" w:rsidP="00114F8E">
      <w:pPr>
        <w:pStyle w:val="ListeParagraf"/>
        <w:numPr>
          <w:ilvl w:val="0"/>
          <w:numId w:val="4"/>
        </w:numPr>
        <w:tabs>
          <w:tab w:val="left" w:pos="142"/>
        </w:tabs>
        <w:spacing w:after="0"/>
        <w:jc w:val="both"/>
        <w:rPr>
          <w:rFonts w:ascii="Times New Roman" w:eastAsia="Times New Roman" w:hAnsi="Times New Roman" w:cs="Times New Roman"/>
          <w:noProof/>
          <w:color w:val="000000" w:themeColor="text1"/>
          <w:sz w:val="24"/>
          <w:szCs w:val="24"/>
          <w:lang w:eastAsia="tr-TR"/>
        </w:rPr>
      </w:pPr>
      <w:r w:rsidRPr="00492175">
        <w:rPr>
          <w:rFonts w:ascii="Times New Roman" w:eastAsia="Times New Roman" w:hAnsi="Times New Roman" w:cs="Times New Roman"/>
          <w:b/>
          <w:noProof/>
          <w:color w:val="000000" w:themeColor="text1"/>
          <w:sz w:val="24"/>
          <w:szCs w:val="24"/>
          <w:lang w:eastAsia="tr-TR"/>
        </w:rPr>
        <w:t>Daire Başkanlığının görevi</w:t>
      </w:r>
      <w:r w:rsidRPr="00492175">
        <w:rPr>
          <w:rFonts w:ascii="Times New Roman" w:eastAsia="Times New Roman" w:hAnsi="Times New Roman" w:cs="Times New Roman"/>
          <w:noProof/>
          <w:color w:val="000000" w:themeColor="text1"/>
          <w:sz w:val="24"/>
          <w:szCs w:val="24"/>
          <w:lang w:eastAsia="tr-TR"/>
        </w:rPr>
        <w:t>; Bilirkişilik alanında  uzmanlıkları tespit etmek, etik ilkeleri belirlemek, temel eğitimi</w:t>
      </w:r>
      <w:r w:rsidR="00606CA1" w:rsidRPr="00492175">
        <w:rPr>
          <w:rFonts w:ascii="Times New Roman" w:eastAsia="Times New Roman" w:hAnsi="Times New Roman" w:cs="Times New Roman"/>
          <w:noProof/>
          <w:color w:val="000000" w:themeColor="text1"/>
          <w:sz w:val="24"/>
          <w:szCs w:val="24"/>
          <w:lang w:eastAsia="tr-TR"/>
        </w:rPr>
        <w:t>n usul ve esasları belirlemek, b</w:t>
      </w:r>
      <w:r w:rsidRPr="00492175">
        <w:rPr>
          <w:rFonts w:ascii="Times New Roman" w:eastAsia="Times New Roman" w:hAnsi="Times New Roman" w:cs="Times New Roman"/>
          <w:noProof/>
          <w:color w:val="000000" w:themeColor="text1"/>
          <w:sz w:val="24"/>
          <w:szCs w:val="24"/>
          <w:lang w:eastAsia="tr-TR"/>
        </w:rPr>
        <w:t xml:space="preserve">ilirkişilerin denetimine ve performansına ilişkin usul ve esasları belirlemek, özel hukuk tüzel kişilerinin ve bu tüzel kişilik bünyesinde bilirkişi olarak çalışacak kişilerin taşıması gereken nitelikleri belirlemek, </w:t>
      </w:r>
      <w:r w:rsidR="00606CA1" w:rsidRPr="00492175">
        <w:rPr>
          <w:rFonts w:ascii="Times New Roman" w:eastAsia="Times New Roman" w:hAnsi="Times New Roman" w:cs="Times New Roman"/>
          <w:noProof/>
          <w:color w:val="000000" w:themeColor="text1"/>
          <w:sz w:val="24"/>
          <w:szCs w:val="24"/>
          <w:lang w:eastAsia="tr-TR"/>
        </w:rPr>
        <w:t>b</w:t>
      </w:r>
      <w:r w:rsidRPr="00492175">
        <w:rPr>
          <w:rFonts w:ascii="Times New Roman" w:eastAsia="Times New Roman" w:hAnsi="Times New Roman" w:cs="Times New Roman"/>
          <w:noProof/>
          <w:color w:val="000000" w:themeColor="text1"/>
          <w:sz w:val="24"/>
          <w:szCs w:val="24"/>
          <w:lang w:eastAsia="tr-TR"/>
        </w:rPr>
        <w:t>ilirkişilik sicilini ve listesini tutmak, v.b. işleri olarak tanımlanmaktadır.</w:t>
      </w:r>
      <w:r w:rsidR="00606CA1" w:rsidRPr="00492175">
        <w:rPr>
          <w:rFonts w:ascii="Times New Roman" w:eastAsia="Times New Roman" w:hAnsi="Times New Roman" w:cs="Times New Roman"/>
          <w:noProof/>
          <w:color w:val="000000" w:themeColor="text1"/>
          <w:sz w:val="24"/>
          <w:szCs w:val="24"/>
          <w:lang w:eastAsia="tr-TR"/>
        </w:rPr>
        <w:t xml:space="preserve"> </w:t>
      </w:r>
    </w:p>
    <w:p w:rsidR="0026031E" w:rsidRPr="00492175" w:rsidRDefault="00BF4B11" w:rsidP="0058474F">
      <w:pPr>
        <w:pStyle w:val="ListeParagraf"/>
        <w:numPr>
          <w:ilvl w:val="0"/>
          <w:numId w:val="4"/>
        </w:numPr>
        <w:tabs>
          <w:tab w:val="left" w:pos="142"/>
        </w:tabs>
        <w:spacing w:after="0"/>
        <w:jc w:val="both"/>
        <w:rPr>
          <w:rFonts w:ascii="Times New Roman" w:eastAsia="Times New Roman" w:hAnsi="Times New Roman" w:cs="Times New Roman"/>
          <w:noProof/>
          <w:color w:val="000000" w:themeColor="text1"/>
          <w:sz w:val="24"/>
          <w:szCs w:val="24"/>
          <w:lang w:eastAsia="tr-TR"/>
        </w:rPr>
      </w:pPr>
      <w:r w:rsidRPr="00492175">
        <w:rPr>
          <w:rFonts w:ascii="Times New Roman" w:eastAsia="Times New Roman" w:hAnsi="Times New Roman" w:cs="Times New Roman"/>
          <w:noProof/>
          <w:color w:val="000000" w:themeColor="text1"/>
          <w:sz w:val="24"/>
          <w:szCs w:val="24"/>
          <w:lang w:eastAsia="tr-TR"/>
        </w:rPr>
        <w:t xml:space="preserve">Bilirkişilik müracaat </w:t>
      </w:r>
      <w:r w:rsidR="0058474F" w:rsidRPr="00492175">
        <w:rPr>
          <w:rFonts w:ascii="Times New Roman" w:eastAsia="Times New Roman" w:hAnsi="Times New Roman" w:cs="Times New Roman"/>
          <w:noProof/>
          <w:color w:val="000000" w:themeColor="text1"/>
          <w:sz w:val="24"/>
          <w:szCs w:val="24"/>
          <w:lang w:eastAsia="tr-TR"/>
        </w:rPr>
        <w:t>sistem</w:t>
      </w:r>
      <w:r w:rsidRPr="00492175">
        <w:rPr>
          <w:rFonts w:ascii="Times New Roman" w:eastAsia="Times New Roman" w:hAnsi="Times New Roman" w:cs="Times New Roman"/>
          <w:noProof/>
          <w:color w:val="000000" w:themeColor="text1"/>
          <w:sz w:val="24"/>
          <w:szCs w:val="24"/>
          <w:lang w:eastAsia="tr-TR"/>
        </w:rPr>
        <w:t>in</w:t>
      </w:r>
      <w:r w:rsidR="0058474F" w:rsidRPr="00492175">
        <w:rPr>
          <w:rFonts w:ascii="Times New Roman" w:eastAsia="Times New Roman" w:hAnsi="Times New Roman" w:cs="Times New Roman"/>
          <w:noProof/>
          <w:color w:val="000000" w:themeColor="text1"/>
          <w:sz w:val="24"/>
          <w:szCs w:val="24"/>
          <w:lang w:eastAsia="tr-TR"/>
        </w:rPr>
        <w:t>de</w:t>
      </w:r>
      <w:r w:rsidRPr="00492175">
        <w:rPr>
          <w:rFonts w:ascii="Times New Roman" w:eastAsia="Times New Roman" w:hAnsi="Times New Roman" w:cs="Times New Roman"/>
          <w:noProof/>
          <w:color w:val="000000" w:themeColor="text1"/>
          <w:sz w:val="24"/>
          <w:szCs w:val="24"/>
          <w:lang w:eastAsia="tr-TR"/>
        </w:rPr>
        <w:t xml:space="preserve"> günümüz uygulamasında; yargı a</w:t>
      </w:r>
      <w:r w:rsidR="00E06F43" w:rsidRPr="00492175">
        <w:rPr>
          <w:rFonts w:ascii="Times New Roman" w:eastAsia="Times New Roman" w:hAnsi="Times New Roman" w:cs="Times New Roman"/>
          <w:noProof/>
          <w:color w:val="000000" w:themeColor="text1"/>
          <w:sz w:val="24"/>
          <w:szCs w:val="24"/>
          <w:lang w:eastAsia="tr-TR"/>
        </w:rPr>
        <w:t>l</w:t>
      </w:r>
      <w:r w:rsidR="0058474F" w:rsidRPr="00492175">
        <w:rPr>
          <w:rFonts w:ascii="Times New Roman" w:eastAsia="Times New Roman" w:hAnsi="Times New Roman" w:cs="Times New Roman"/>
          <w:noProof/>
          <w:color w:val="000000" w:themeColor="text1"/>
          <w:sz w:val="24"/>
          <w:szCs w:val="24"/>
          <w:lang w:eastAsia="tr-TR"/>
        </w:rPr>
        <w:t>a</w:t>
      </w:r>
      <w:r w:rsidR="00E06F43" w:rsidRPr="00492175">
        <w:rPr>
          <w:rFonts w:ascii="Times New Roman" w:eastAsia="Times New Roman" w:hAnsi="Times New Roman" w:cs="Times New Roman"/>
          <w:noProof/>
          <w:color w:val="000000" w:themeColor="text1"/>
          <w:sz w:val="24"/>
          <w:szCs w:val="24"/>
          <w:lang w:eastAsia="tr-TR"/>
        </w:rPr>
        <w:t xml:space="preserve">nında bilirkişilik yapmak üzere </w:t>
      </w:r>
      <w:r w:rsidRPr="00492175">
        <w:rPr>
          <w:rFonts w:ascii="Times New Roman" w:eastAsia="Times New Roman" w:hAnsi="Times New Roman" w:cs="Times New Roman"/>
          <w:noProof/>
          <w:color w:val="000000" w:themeColor="text1"/>
          <w:sz w:val="24"/>
          <w:szCs w:val="24"/>
          <w:lang w:eastAsia="tr-TR"/>
        </w:rPr>
        <w:t>4 ayrı müracaat şekli</w:t>
      </w:r>
      <w:r w:rsidR="0058474F" w:rsidRPr="00492175">
        <w:rPr>
          <w:rFonts w:ascii="Times New Roman" w:eastAsia="Times New Roman" w:hAnsi="Times New Roman" w:cs="Times New Roman"/>
          <w:noProof/>
          <w:color w:val="000000" w:themeColor="text1"/>
          <w:sz w:val="24"/>
          <w:szCs w:val="24"/>
          <w:lang w:eastAsia="tr-TR"/>
        </w:rPr>
        <w:t xml:space="preserve"> yeniden düzenlenmiş</w:t>
      </w:r>
      <w:r w:rsidR="00E06F43" w:rsidRPr="00492175">
        <w:rPr>
          <w:rFonts w:ascii="Times New Roman" w:eastAsia="Times New Roman" w:hAnsi="Times New Roman" w:cs="Times New Roman"/>
          <w:noProof/>
          <w:color w:val="000000" w:themeColor="text1"/>
          <w:sz w:val="24"/>
          <w:szCs w:val="24"/>
          <w:lang w:eastAsia="tr-TR"/>
        </w:rPr>
        <w:t xml:space="preserve"> ve</w:t>
      </w:r>
      <w:r w:rsidRPr="00492175">
        <w:rPr>
          <w:rFonts w:ascii="Times New Roman" w:eastAsia="Times New Roman" w:hAnsi="Times New Roman" w:cs="Times New Roman"/>
          <w:noProof/>
          <w:color w:val="000000" w:themeColor="text1"/>
          <w:sz w:val="24"/>
          <w:szCs w:val="24"/>
          <w:lang w:eastAsia="tr-TR"/>
        </w:rPr>
        <w:t xml:space="preserve"> </w:t>
      </w:r>
      <w:r w:rsidR="0058474F" w:rsidRPr="00492175">
        <w:rPr>
          <w:rFonts w:ascii="Times New Roman" w:eastAsia="Times New Roman" w:hAnsi="Times New Roman" w:cs="Times New Roman"/>
          <w:noProof/>
          <w:color w:val="000000" w:themeColor="text1"/>
          <w:sz w:val="24"/>
          <w:szCs w:val="24"/>
          <w:lang w:eastAsia="tr-TR"/>
        </w:rPr>
        <w:t>tek bir mür</w:t>
      </w:r>
      <w:r w:rsidRPr="00492175">
        <w:rPr>
          <w:rFonts w:ascii="Times New Roman" w:eastAsia="Times New Roman" w:hAnsi="Times New Roman" w:cs="Times New Roman"/>
          <w:noProof/>
          <w:color w:val="000000" w:themeColor="text1"/>
          <w:sz w:val="24"/>
          <w:szCs w:val="24"/>
          <w:lang w:eastAsia="tr-TR"/>
        </w:rPr>
        <w:t>a</w:t>
      </w:r>
      <w:r w:rsidR="0058474F" w:rsidRPr="00492175">
        <w:rPr>
          <w:rFonts w:ascii="Times New Roman" w:eastAsia="Times New Roman" w:hAnsi="Times New Roman" w:cs="Times New Roman"/>
          <w:noProof/>
          <w:color w:val="000000" w:themeColor="text1"/>
          <w:sz w:val="24"/>
          <w:szCs w:val="24"/>
          <w:lang w:eastAsia="tr-TR"/>
        </w:rPr>
        <w:t>caat şek</w:t>
      </w:r>
      <w:r w:rsidRPr="00492175">
        <w:rPr>
          <w:rFonts w:ascii="Times New Roman" w:eastAsia="Times New Roman" w:hAnsi="Times New Roman" w:cs="Times New Roman"/>
          <w:noProof/>
          <w:color w:val="000000" w:themeColor="text1"/>
          <w:sz w:val="24"/>
          <w:szCs w:val="24"/>
          <w:lang w:eastAsia="tr-TR"/>
        </w:rPr>
        <w:t>l</w:t>
      </w:r>
      <w:r w:rsidR="0058474F" w:rsidRPr="00492175">
        <w:rPr>
          <w:rFonts w:ascii="Times New Roman" w:eastAsia="Times New Roman" w:hAnsi="Times New Roman" w:cs="Times New Roman"/>
          <w:noProof/>
          <w:color w:val="000000" w:themeColor="text1"/>
          <w:sz w:val="24"/>
          <w:szCs w:val="24"/>
          <w:lang w:eastAsia="tr-TR"/>
        </w:rPr>
        <w:t>ine dönüşmüştür.</w:t>
      </w:r>
      <w:r w:rsidR="00E06F43" w:rsidRPr="00492175">
        <w:rPr>
          <w:rFonts w:ascii="Times New Roman" w:eastAsia="Times New Roman" w:hAnsi="Times New Roman" w:cs="Times New Roman"/>
          <w:noProof/>
          <w:color w:val="000000" w:themeColor="text1"/>
          <w:sz w:val="24"/>
          <w:szCs w:val="24"/>
          <w:lang w:eastAsia="tr-TR"/>
        </w:rPr>
        <w:t xml:space="preserve"> </w:t>
      </w:r>
      <w:r w:rsidR="0058474F" w:rsidRPr="00492175">
        <w:rPr>
          <w:rFonts w:ascii="Times New Roman" w:eastAsia="Times New Roman" w:hAnsi="Times New Roman" w:cs="Times New Roman"/>
          <w:noProof/>
          <w:color w:val="000000" w:themeColor="text1"/>
          <w:sz w:val="24"/>
          <w:szCs w:val="24"/>
          <w:lang w:eastAsia="tr-TR"/>
        </w:rPr>
        <w:t xml:space="preserve">Müracaatların </w:t>
      </w:r>
      <w:r w:rsidR="00E06F43" w:rsidRPr="00492175">
        <w:rPr>
          <w:rFonts w:ascii="Times New Roman" w:eastAsia="Times New Roman" w:hAnsi="Times New Roman" w:cs="Times New Roman"/>
          <w:noProof/>
          <w:color w:val="000000" w:themeColor="text1"/>
          <w:sz w:val="24"/>
          <w:szCs w:val="24"/>
          <w:lang w:eastAsia="tr-TR"/>
        </w:rPr>
        <w:t>tek bir standart getirilmesi olumlu b</w:t>
      </w:r>
      <w:r w:rsidR="000866DA" w:rsidRPr="00492175">
        <w:rPr>
          <w:rFonts w:ascii="Times New Roman" w:eastAsia="Times New Roman" w:hAnsi="Times New Roman" w:cs="Times New Roman"/>
          <w:noProof/>
          <w:color w:val="000000" w:themeColor="text1"/>
          <w:sz w:val="24"/>
          <w:szCs w:val="24"/>
          <w:lang w:eastAsia="tr-TR"/>
        </w:rPr>
        <w:t>ir</w:t>
      </w:r>
      <w:r w:rsidR="00E06F43" w:rsidRPr="00492175">
        <w:rPr>
          <w:rFonts w:ascii="Times New Roman" w:eastAsia="Times New Roman" w:hAnsi="Times New Roman" w:cs="Times New Roman"/>
          <w:noProof/>
          <w:color w:val="000000" w:themeColor="text1"/>
          <w:sz w:val="24"/>
          <w:szCs w:val="24"/>
          <w:lang w:eastAsia="tr-TR"/>
        </w:rPr>
        <w:t xml:space="preserve"> adım olarak görülmektedir. </w:t>
      </w:r>
    </w:p>
    <w:p w:rsidR="0026031E" w:rsidRPr="00492175" w:rsidRDefault="0026031E" w:rsidP="0026031E">
      <w:pPr>
        <w:pStyle w:val="ListeParagraf"/>
        <w:numPr>
          <w:ilvl w:val="0"/>
          <w:numId w:val="4"/>
        </w:numPr>
        <w:tabs>
          <w:tab w:val="left" w:pos="0"/>
        </w:tabs>
        <w:spacing w:after="0"/>
        <w:jc w:val="both"/>
        <w:rPr>
          <w:rFonts w:ascii="Times New Roman" w:eastAsia="Times New Roman" w:hAnsi="Times New Roman" w:cs="Times New Roman"/>
          <w:noProof/>
          <w:color w:val="000000" w:themeColor="text1"/>
          <w:sz w:val="24"/>
          <w:szCs w:val="24"/>
        </w:rPr>
      </w:pPr>
      <w:r w:rsidRPr="00492175">
        <w:rPr>
          <w:rFonts w:ascii="Times New Roman" w:eastAsia="Times New Roman" w:hAnsi="Times New Roman" w:cs="Times New Roman"/>
          <w:b/>
          <w:noProof/>
          <w:color w:val="000000" w:themeColor="text1"/>
          <w:sz w:val="24"/>
          <w:szCs w:val="24"/>
        </w:rPr>
        <w:t>Bilirkişi tanımına</w:t>
      </w:r>
      <w:r w:rsidR="00006498" w:rsidRPr="00492175">
        <w:rPr>
          <w:rFonts w:ascii="Times New Roman" w:eastAsia="Times New Roman" w:hAnsi="Times New Roman" w:cs="Times New Roman"/>
          <w:noProof/>
          <w:color w:val="000000" w:themeColor="text1"/>
          <w:sz w:val="24"/>
          <w:szCs w:val="24"/>
        </w:rPr>
        <w:t>; ç</w:t>
      </w:r>
      <w:r w:rsidRPr="00492175">
        <w:rPr>
          <w:rFonts w:ascii="Times New Roman" w:eastAsia="Times New Roman" w:hAnsi="Times New Roman" w:cs="Times New Roman"/>
          <w:noProof/>
          <w:color w:val="000000" w:themeColor="text1"/>
          <w:sz w:val="24"/>
          <w:szCs w:val="24"/>
        </w:rPr>
        <w:t xml:space="preserve">özümü uzmanlığı, özel veya teknik bilgiyi gerektiren hallerde oy ve görüşünü sözlü veya yazılı olarak vermesi için başvurulan gerçek kişiye veya denilerek </w:t>
      </w:r>
      <w:r w:rsidR="00006498" w:rsidRPr="00492175">
        <w:rPr>
          <w:rFonts w:ascii="Times New Roman" w:eastAsia="Times New Roman" w:hAnsi="Times New Roman" w:cs="Times New Roman"/>
          <w:b/>
          <w:noProof/>
          <w:color w:val="000000" w:themeColor="text1"/>
          <w:sz w:val="24"/>
          <w:szCs w:val="24"/>
        </w:rPr>
        <w:t>“</w:t>
      </w:r>
      <w:r w:rsidRPr="00492175">
        <w:rPr>
          <w:rFonts w:ascii="Times New Roman" w:eastAsia="Times New Roman" w:hAnsi="Times New Roman" w:cs="Times New Roman"/>
          <w:b/>
          <w:noProof/>
          <w:color w:val="000000" w:themeColor="text1"/>
          <w:sz w:val="24"/>
          <w:szCs w:val="24"/>
        </w:rPr>
        <w:t>özel hukuk tüzel kişisi</w:t>
      </w:r>
      <w:r w:rsidR="00006498" w:rsidRPr="00492175">
        <w:rPr>
          <w:rFonts w:ascii="Times New Roman" w:eastAsia="Times New Roman" w:hAnsi="Times New Roman" w:cs="Times New Roman"/>
          <w:b/>
          <w:noProof/>
          <w:color w:val="000000" w:themeColor="text1"/>
          <w:sz w:val="24"/>
          <w:szCs w:val="24"/>
        </w:rPr>
        <w:t>”</w:t>
      </w:r>
      <w:r w:rsidR="00006498" w:rsidRPr="00492175">
        <w:rPr>
          <w:rFonts w:ascii="Times New Roman" w:eastAsia="Times New Roman" w:hAnsi="Times New Roman" w:cs="Times New Roman"/>
          <w:noProof/>
          <w:color w:val="000000" w:themeColor="text1"/>
          <w:sz w:val="24"/>
          <w:szCs w:val="24"/>
        </w:rPr>
        <w:t xml:space="preserve"> getirilmiş ve bu şekilde ö</w:t>
      </w:r>
      <w:r w:rsidRPr="00492175">
        <w:rPr>
          <w:rFonts w:ascii="Times New Roman" w:eastAsia="Times New Roman" w:hAnsi="Times New Roman" w:cs="Times New Roman"/>
          <w:noProof/>
          <w:color w:val="000000" w:themeColor="text1"/>
          <w:sz w:val="24"/>
          <w:szCs w:val="24"/>
        </w:rPr>
        <w:t xml:space="preserve">zel </w:t>
      </w:r>
      <w:r w:rsidR="00006498" w:rsidRPr="00492175">
        <w:rPr>
          <w:rFonts w:ascii="Times New Roman" w:eastAsia="Times New Roman" w:hAnsi="Times New Roman" w:cs="Times New Roman"/>
          <w:noProof/>
          <w:color w:val="000000" w:themeColor="text1"/>
          <w:sz w:val="24"/>
          <w:szCs w:val="24"/>
        </w:rPr>
        <w:t>h</w:t>
      </w:r>
      <w:r w:rsidRPr="00492175">
        <w:rPr>
          <w:rFonts w:ascii="Times New Roman" w:eastAsia="Times New Roman" w:hAnsi="Times New Roman" w:cs="Times New Roman"/>
          <w:noProof/>
          <w:color w:val="000000" w:themeColor="text1"/>
          <w:sz w:val="24"/>
          <w:szCs w:val="24"/>
        </w:rPr>
        <w:t xml:space="preserve">ukuk </w:t>
      </w:r>
      <w:r w:rsidR="00006498" w:rsidRPr="00492175">
        <w:rPr>
          <w:rFonts w:ascii="Times New Roman" w:eastAsia="Times New Roman" w:hAnsi="Times New Roman" w:cs="Times New Roman"/>
          <w:noProof/>
          <w:color w:val="000000" w:themeColor="text1"/>
          <w:sz w:val="24"/>
          <w:szCs w:val="24"/>
        </w:rPr>
        <w:t>t</w:t>
      </w:r>
      <w:r w:rsidRPr="00492175">
        <w:rPr>
          <w:rFonts w:ascii="Times New Roman" w:eastAsia="Times New Roman" w:hAnsi="Times New Roman" w:cs="Times New Roman"/>
          <w:noProof/>
          <w:color w:val="000000" w:themeColor="text1"/>
          <w:sz w:val="24"/>
          <w:szCs w:val="24"/>
        </w:rPr>
        <w:t>üzel kişileri</w:t>
      </w:r>
      <w:r w:rsidR="00BF4B11" w:rsidRPr="00492175">
        <w:rPr>
          <w:rFonts w:ascii="Times New Roman" w:eastAsia="Times New Roman" w:hAnsi="Times New Roman" w:cs="Times New Roman"/>
          <w:noProof/>
          <w:color w:val="000000" w:themeColor="text1"/>
          <w:sz w:val="24"/>
          <w:szCs w:val="24"/>
        </w:rPr>
        <w:t xml:space="preserve">n </w:t>
      </w:r>
      <w:r w:rsidR="00006498" w:rsidRPr="00492175">
        <w:rPr>
          <w:rFonts w:ascii="Times New Roman" w:hAnsi="Times New Roman" w:cs="Times New Roman"/>
          <w:color w:val="000000" w:themeColor="text1"/>
          <w:sz w:val="24"/>
          <w:szCs w:val="24"/>
        </w:rPr>
        <w:t xml:space="preserve">(ticari şirketlerin) </w:t>
      </w:r>
      <w:r w:rsidR="00006498" w:rsidRPr="00492175">
        <w:rPr>
          <w:rFonts w:ascii="Times New Roman" w:eastAsia="Times New Roman" w:hAnsi="Times New Roman" w:cs="Times New Roman"/>
          <w:noProof/>
          <w:color w:val="000000" w:themeColor="text1"/>
          <w:sz w:val="24"/>
          <w:szCs w:val="24"/>
        </w:rPr>
        <w:t>b</w:t>
      </w:r>
      <w:r w:rsidR="00BF4B11" w:rsidRPr="00492175">
        <w:rPr>
          <w:rFonts w:ascii="Times New Roman" w:eastAsia="Times New Roman" w:hAnsi="Times New Roman" w:cs="Times New Roman"/>
          <w:noProof/>
          <w:color w:val="000000" w:themeColor="text1"/>
          <w:sz w:val="24"/>
          <w:szCs w:val="24"/>
        </w:rPr>
        <w:t>ilirkişilik yapma yolu açılmıştı</w:t>
      </w:r>
      <w:r w:rsidRPr="00492175">
        <w:rPr>
          <w:rFonts w:ascii="Times New Roman" w:eastAsia="Times New Roman" w:hAnsi="Times New Roman" w:cs="Times New Roman"/>
          <w:noProof/>
          <w:color w:val="000000" w:themeColor="text1"/>
          <w:sz w:val="24"/>
          <w:szCs w:val="24"/>
        </w:rPr>
        <w:t xml:space="preserve">r. </w:t>
      </w:r>
      <w:r w:rsidR="00006498" w:rsidRPr="00492175">
        <w:rPr>
          <w:rFonts w:ascii="Times New Roman" w:hAnsi="Times New Roman" w:cs="Times New Roman"/>
          <w:color w:val="000000" w:themeColor="text1"/>
          <w:sz w:val="24"/>
          <w:szCs w:val="24"/>
        </w:rPr>
        <w:t>Bilirkişilik kesinlikle uzman gerçek kişi eliyle yapılması gereken bir görevdir. Özel hukuk tüzel kişilerine bu hakkın verilmesi bilirkişiliğin ileride bu amaçla kurulacak şirketlere teslim edilmesi sonucunu doğuracaktır. Özel ve teknik bilgiye sahip bilirkişinin şirket bünyesinde görev yaparken bilirkişilik görevini bağımsız bir biçimde yerine getirmesi mümkün olamayacaktır.</w:t>
      </w:r>
    </w:p>
    <w:p w:rsidR="0026031E" w:rsidRPr="00492175" w:rsidRDefault="00006498" w:rsidP="0026031E">
      <w:pPr>
        <w:pStyle w:val="ListeParagraf"/>
        <w:numPr>
          <w:ilvl w:val="0"/>
          <w:numId w:val="4"/>
        </w:numPr>
        <w:tabs>
          <w:tab w:val="left" w:pos="142"/>
        </w:tabs>
        <w:spacing w:after="0"/>
        <w:jc w:val="both"/>
        <w:rPr>
          <w:rFonts w:ascii="Times New Roman" w:eastAsia="Times New Roman" w:hAnsi="Times New Roman" w:cs="Times New Roman"/>
          <w:noProof/>
          <w:color w:val="000000" w:themeColor="text1"/>
          <w:sz w:val="24"/>
          <w:szCs w:val="24"/>
          <w:lang w:eastAsia="tr-TR"/>
        </w:rPr>
      </w:pPr>
      <w:r w:rsidRPr="00492175">
        <w:rPr>
          <w:rFonts w:ascii="Times New Roman" w:hAnsi="Times New Roman" w:cs="Times New Roman"/>
          <w:color w:val="000000" w:themeColor="text1"/>
          <w:sz w:val="24"/>
          <w:szCs w:val="24"/>
        </w:rPr>
        <w:t xml:space="preserve">Kamulaştırma Kanunu’nun 15. maddesi yürürlükten kaldırılmaktadır. </w:t>
      </w:r>
      <w:r w:rsidR="00114F8E" w:rsidRPr="00492175">
        <w:rPr>
          <w:rFonts w:ascii="Times New Roman" w:hAnsi="Times New Roman" w:cs="Times New Roman"/>
          <w:color w:val="000000" w:themeColor="text1"/>
          <w:sz w:val="24"/>
          <w:szCs w:val="24"/>
        </w:rPr>
        <w:t>Maddenin yürürlükten kalkması ile birlikte Kamulaştırma Kanunu’nun bu maddesine dayalı olarak yürürlüğe konulan yönetmelikler ve Odaların uygulamaları ortadan kalkmış olacaktır.</w:t>
      </w:r>
      <w:r w:rsidR="005145FF" w:rsidRPr="00492175">
        <w:rPr>
          <w:rFonts w:ascii="Times New Roman" w:eastAsia="Times New Roman" w:hAnsi="Times New Roman" w:cs="Times New Roman"/>
          <w:noProof/>
          <w:color w:val="000000" w:themeColor="text1"/>
          <w:sz w:val="24"/>
          <w:szCs w:val="24"/>
          <w:lang w:eastAsia="tr-TR"/>
        </w:rPr>
        <w:t xml:space="preserve"> </w:t>
      </w:r>
      <w:r w:rsidR="00114F8E" w:rsidRPr="00492175">
        <w:rPr>
          <w:rFonts w:ascii="Times New Roman" w:eastAsia="Times New Roman" w:hAnsi="Times New Roman" w:cs="Times New Roman"/>
          <w:noProof/>
          <w:color w:val="000000" w:themeColor="text1"/>
          <w:sz w:val="24"/>
          <w:szCs w:val="24"/>
          <w:lang w:eastAsia="tr-TR"/>
        </w:rPr>
        <w:t>B</w:t>
      </w:r>
      <w:r w:rsidR="005145FF" w:rsidRPr="00492175">
        <w:rPr>
          <w:rFonts w:ascii="Times New Roman" w:eastAsia="Times New Roman" w:hAnsi="Times New Roman" w:cs="Times New Roman"/>
          <w:noProof/>
          <w:color w:val="000000" w:themeColor="text1"/>
          <w:sz w:val="24"/>
          <w:szCs w:val="24"/>
          <w:lang w:eastAsia="tr-TR"/>
        </w:rPr>
        <w:t xml:space="preserve">una karşılık </w:t>
      </w:r>
      <w:r w:rsidR="00114F8E" w:rsidRPr="00492175">
        <w:rPr>
          <w:rFonts w:ascii="Times New Roman" w:eastAsia="Times New Roman" w:hAnsi="Times New Roman" w:cs="Times New Roman"/>
          <w:noProof/>
          <w:color w:val="000000" w:themeColor="text1"/>
          <w:sz w:val="24"/>
          <w:szCs w:val="24"/>
          <w:lang w:eastAsia="tr-TR"/>
        </w:rPr>
        <w:t>k</w:t>
      </w:r>
      <w:r w:rsidR="005145FF" w:rsidRPr="00492175">
        <w:rPr>
          <w:rFonts w:ascii="Times New Roman" w:eastAsia="Times New Roman" w:hAnsi="Times New Roman" w:cs="Times New Roman"/>
          <w:noProof/>
          <w:color w:val="000000" w:themeColor="text1"/>
          <w:sz w:val="24"/>
          <w:szCs w:val="24"/>
          <w:lang w:eastAsia="tr-TR"/>
        </w:rPr>
        <w:t>amulaştırma</w:t>
      </w:r>
      <w:r w:rsidR="00114F8E" w:rsidRPr="00492175">
        <w:rPr>
          <w:rFonts w:ascii="Times New Roman" w:eastAsia="Times New Roman" w:hAnsi="Times New Roman" w:cs="Times New Roman"/>
          <w:noProof/>
          <w:color w:val="000000" w:themeColor="text1"/>
          <w:sz w:val="24"/>
          <w:szCs w:val="24"/>
          <w:lang w:eastAsia="tr-TR"/>
        </w:rPr>
        <w:t>,</w:t>
      </w:r>
      <w:r w:rsidR="005145FF" w:rsidRPr="00492175">
        <w:rPr>
          <w:rFonts w:ascii="Times New Roman" w:eastAsia="Times New Roman" w:hAnsi="Times New Roman" w:cs="Times New Roman"/>
          <w:noProof/>
          <w:color w:val="000000" w:themeColor="text1"/>
          <w:sz w:val="24"/>
          <w:szCs w:val="24"/>
          <w:lang w:eastAsia="tr-TR"/>
        </w:rPr>
        <w:t xml:space="preserve"> </w:t>
      </w:r>
      <w:r w:rsidR="00114F8E" w:rsidRPr="00492175">
        <w:rPr>
          <w:rFonts w:ascii="Times New Roman" w:eastAsia="Times New Roman" w:hAnsi="Times New Roman" w:cs="Times New Roman"/>
          <w:noProof/>
          <w:color w:val="000000" w:themeColor="text1"/>
          <w:sz w:val="24"/>
          <w:szCs w:val="24"/>
          <w:lang w:eastAsia="tr-TR"/>
        </w:rPr>
        <w:t>h</w:t>
      </w:r>
      <w:r w:rsidR="005145FF" w:rsidRPr="00492175">
        <w:rPr>
          <w:rFonts w:ascii="Times New Roman" w:eastAsia="Times New Roman" w:hAnsi="Times New Roman" w:cs="Times New Roman"/>
          <w:noProof/>
          <w:color w:val="000000" w:themeColor="text1"/>
          <w:sz w:val="24"/>
          <w:szCs w:val="24"/>
          <w:lang w:eastAsia="tr-TR"/>
        </w:rPr>
        <w:t>ukuk davalarında bir uzm</w:t>
      </w:r>
      <w:r w:rsidR="00D43071" w:rsidRPr="00492175">
        <w:rPr>
          <w:rFonts w:ascii="Times New Roman" w:eastAsia="Times New Roman" w:hAnsi="Times New Roman" w:cs="Times New Roman"/>
          <w:noProof/>
          <w:color w:val="000000" w:themeColor="text1"/>
          <w:sz w:val="24"/>
          <w:szCs w:val="24"/>
          <w:lang w:eastAsia="tr-TR"/>
        </w:rPr>
        <w:t xml:space="preserve">anlık alanı olarak belirlenmiştir. </w:t>
      </w:r>
    </w:p>
    <w:p w:rsidR="00114F8E" w:rsidRPr="00492175" w:rsidRDefault="00114F8E" w:rsidP="00114F8E">
      <w:pPr>
        <w:pStyle w:val="ListeParagraf"/>
        <w:numPr>
          <w:ilvl w:val="0"/>
          <w:numId w:val="4"/>
        </w:numPr>
        <w:jc w:val="both"/>
        <w:rPr>
          <w:rFonts w:ascii="Times New Roman" w:hAnsi="Times New Roman" w:cs="Times New Roman"/>
          <w:color w:val="000000" w:themeColor="text1"/>
          <w:sz w:val="24"/>
          <w:szCs w:val="24"/>
        </w:rPr>
      </w:pPr>
      <w:r w:rsidRPr="00492175">
        <w:rPr>
          <w:rFonts w:ascii="Times New Roman" w:hAnsi="Times New Roman" w:cs="Times New Roman"/>
          <w:color w:val="000000" w:themeColor="text1"/>
          <w:sz w:val="24"/>
          <w:szCs w:val="24"/>
        </w:rPr>
        <w:t>Meslek odalarının bilirkişilik hizmetlerindeki denetimi ve etkinliği nedeniyle kamulaştırma davalarındaki bilirkişilik sistemi en fazla disipline edilmiş ve sorunsuz bir alan iken, bu maddenin yürürlükten kaldırılması sonucunda kamulaştırma davalarındaki bilirkişilik hizmetleri de bilirkişiliğin genel sorunları ile karşı karşıya kalacaktır.</w:t>
      </w:r>
    </w:p>
    <w:p w:rsidR="000866DA" w:rsidRPr="00492175" w:rsidRDefault="000A2847" w:rsidP="0026031E">
      <w:pPr>
        <w:pStyle w:val="ListeParagraf"/>
        <w:numPr>
          <w:ilvl w:val="0"/>
          <w:numId w:val="4"/>
        </w:numPr>
        <w:tabs>
          <w:tab w:val="left" w:pos="142"/>
        </w:tabs>
        <w:spacing w:after="0"/>
        <w:jc w:val="both"/>
        <w:rPr>
          <w:rFonts w:ascii="Times New Roman" w:eastAsia="Times New Roman" w:hAnsi="Times New Roman" w:cs="Times New Roman"/>
          <w:noProof/>
          <w:color w:val="000000" w:themeColor="text1"/>
          <w:sz w:val="24"/>
          <w:szCs w:val="24"/>
          <w:lang w:eastAsia="tr-TR"/>
        </w:rPr>
      </w:pPr>
      <w:r w:rsidRPr="00492175">
        <w:rPr>
          <w:rFonts w:ascii="Times New Roman" w:eastAsia="Times New Roman" w:hAnsi="Times New Roman" w:cs="Times New Roman"/>
          <w:noProof/>
          <w:color w:val="000000" w:themeColor="text1"/>
          <w:sz w:val="24"/>
          <w:szCs w:val="24"/>
          <w:lang w:eastAsia="tr-TR"/>
        </w:rPr>
        <w:t>Kanunun</w:t>
      </w:r>
      <w:r w:rsidR="00A60C09" w:rsidRPr="00492175">
        <w:rPr>
          <w:rFonts w:ascii="Times New Roman" w:eastAsia="Times New Roman" w:hAnsi="Times New Roman" w:cs="Times New Roman"/>
          <w:noProof/>
          <w:color w:val="000000" w:themeColor="text1"/>
          <w:sz w:val="24"/>
          <w:szCs w:val="24"/>
          <w:lang w:eastAsia="tr-TR"/>
        </w:rPr>
        <w:t xml:space="preserve"> 10. madde</w:t>
      </w:r>
      <w:r w:rsidRPr="00492175">
        <w:rPr>
          <w:rFonts w:ascii="Times New Roman" w:eastAsia="Times New Roman" w:hAnsi="Times New Roman" w:cs="Times New Roman"/>
          <w:noProof/>
          <w:color w:val="000000" w:themeColor="text1"/>
          <w:sz w:val="24"/>
          <w:szCs w:val="24"/>
          <w:lang w:eastAsia="tr-TR"/>
        </w:rPr>
        <w:t>si</w:t>
      </w:r>
      <w:r w:rsidR="00A60C09" w:rsidRPr="00492175">
        <w:rPr>
          <w:rFonts w:ascii="Times New Roman" w:eastAsia="Times New Roman" w:hAnsi="Times New Roman" w:cs="Times New Roman"/>
          <w:noProof/>
          <w:color w:val="000000" w:themeColor="text1"/>
          <w:sz w:val="24"/>
          <w:szCs w:val="24"/>
          <w:lang w:eastAsia="tr-TR"/>
        </w:rPr>
        <w:t xml:space="preserve">nin (f) fıkrası gereği; “Meslek mensubu olarak görev yapabilmek için mevzuat tarafından aranan şartları haiz olmak ve mesleğini yapabilmek için gerekli olan uzmanlık belgesi ve benzeri belgeye sahip olmak” şartı, </w:t>
      </w:r>
      <w:r w:rsidR="005145FF" w:rsidRPr="00492175">
        <w:rPr>
          <w:rFonts w:ascii="Times New Roman" w:eastAsia="Times New Roman" w:hAnsi="Times New Roman" w:cs="Times New Roman"/>
          <w:noProof/>
          <w:color w:val="000000" w:themeColor="text1"/>
          <w:sz w:val="24"/>
          <w:szCs w:val="24"/>
          <w:lang w:eastAsia="tr-TR"/>
        </w:rPr>
        <w:t xml:space="preserve"> </w:t>
      </w:r>
      <w:r w:rsidR="00A60C09" w:rsidRPr="00492175">
        <w:rPr>
          <w:rFonts w:ascii="Times New Roman" w:eastAsia="Times New Roman" w:hAnsi="Times New Roman" w:cs="Times New Roman"/>
          <w:noProof/>
          <w:color w:val="000000" w:themeColor="text1"/>
          <w:sz w:val="24"/>
          <w:szCs w:val="24"/>
          <w:lang w:eastAsia="tr-TR"/>
        </w:rPr>
        <w:t xml:space="preserve">meslek kuruluşları bakımından gerek teknik bilirkişilerin denetlenmesi ve uzmanlık eğitimlerinin verilmesi, gerekse sertifika düzenlenmesi gibi uygulamalar bakımından  önemli bir düzenlemedir. </w:t>
      </w:r>
    </w:p>
    <w:p w:rsidR="00F72DE9" w:rsidRPr="00492175" w:rsidRDefault="00606CA1" w:rsidP="003D7DC0">
      <w:pPr>
        <w:pStyle w:val="ListeParagraf"/>
        <w:numPr>
          <w:ilvl w:val="0"/>
          <w:numId w:val="4"/>
        </w:numPr>
        <w:tabs>
          <w:tab w:val="left" w:pos="142"/>
        </w:tabs>
        <w:spacing w:after="0"/>
        <w:jc w:val="both"/>
        <w:rPr>
          <w:rFonts w:ascii="Times New Roman" w:eastAsia="Times New Roman" w:hAnsi="Times New Roman" w:cs="Times New Roman"/>
          <w:noProof/>
          <w:color w:val="000000" w:themeColor="text1"/>
          <w:sz w:val="24"/>
          <w:szCs w:val="24"/>
        </w:rPr>
      </w:pPr>
      <w:r w:rsidRPr="00492175">
        <w:rPr>
          <w:rFonts w:ascii="Times New Roman" w:eastAsia="Times New Roman" w:hAnsi="Times New Roman" w:cs="Times New Roman"/>
          <w:b/>
          <w:noProof/>
          <w:color w:val="000000" w:themeColor="text1"/>
          <w:sz w:val="24"/>
          <w:szCs w:val="24"/>
        </w:rPr>
        <w:t>Bilirkişiliğe k</w:t>
      </w:r>
      <w:r w:rsidR="00861DBD" w:rsidRPr="00492175">
        <w:rPr>
          <w:rFonts w:ascii="Times New Roman" w:eastAsia="Times New Roman" w:hAnsi="Times New Roman" w:cs="Times New Roman"/>
          <w:b/>
          <w:noProof/>
          <w:color w:val="000000" w:themeColor="text1"/>
          <w:sz w:val="24"/>
          <w:szCs w:val="24"/>
        </w:rPr>
        <w:t>abul şartlarında</w:t>
      </w:r>
      <w:r w:rsidR="00861DBD" w:rsidRPr="00492175">
        <w:rPr>
          <w:rFonts w:ascii="Times New Roman" w:eastAsia="Times New Roman" w:hAnsi="Times New Roman" w:cs="Times New Roman"/>
          <w:noProof/>
          <w:color w:val="000000" w:themeColor="text1"/>
          <w:sz w:val="24"/>
          <w:szCs w:val="24"/>
        </w:rPr>
        <w:t>;</w:t>
      </w:r>
      <w:r w:rsidR="00861DBD" w:rsidRPr="00492175">
        <w:rPr>
          <w:rFonts w:ascii="Times New Roman" w:eastAsia="Times New Roman" w:hAnsi="Times New Roman" w:cs="Times New Roman"/>
          <w:i/>
          <w:noProof/>
          <w:color w:val="000000" w:themeColor="text1"/>
          <w:sz w:val="24"/>
          <w:szCs w:val="24"/>
        </w:rPr>
        <w:t xml:space="preserve"> </w:t>
      </w:r>
      <w:r w:rsidR="00BA405A" w:rsidRPr="00492175">
        <w:rPr>
          <w:rFonts w:ascii="Times New Roman" w:eastAsia="Times New Roman" w:hAnsi="Times New Roman" w:cs="Times New Roman"/>
          <w:i/>
          <w:noProof/>
          <w:color w:val="000000" w:themeColor="text1"/>
          <w:sz w:val="24"/>
          <w:szCs w:val="24"/>
        </w:rPr>
        <w:t>“</w:t>
      </w:r>
      <w:r w:rsidR="00861DBD" w:rsidRPr="00492175">
        <w:rPr>
          <w:rFonts w:ascii="Times New Roman" w:eastAsia="Times New Roman" w:hAnsi="Times New Roman" w:cs="Times New Roman"/>
          <w:i/>
          <w:noProof/>
          <w:color w:val="000000" w:themeColor="text1"/>
          <w:sz w:val="24"/>
          <w:szCs w:val="24"/>
        </w:rPr>
        <w:t xml:space="preserve">Meslek mensubu olarak görev yapabilmek için mevzuat tarafından aranan şartları haiz olmak ve mesleğini yapabilmek için gerekli olan uzmanlık alanını gösteren diploma, mesleki yeterlilik belgesi, uzmanlık belgesi </w:t>
      </w:r>
      <w:r w:rsidR="00861DBD" w:rsidRPr="00492175">
        <w:rPr>
          <w:rFonts w:ascii="Times New Roman" w:eastAsia="Times New Roman" w:hAnsi="Times New Roman" w:cs="Times New Roman"/>
          <w:i/>
          <w:noProof/>
          <w:color w:val="000000" w:themeColor="text1"/>
          <w:sz w:val="24"/>
          <w:szCs w:val="24"/>
        </w:rPr>
        <w:lastRenderedPageBreak/>
        <w:t>veya benzeri belgeye sahip olma</w:t>
      </w:r>
      <w:r w:rsidR="00BA405A" w:rsidRPr="00492175">
        <w:rPr>
          <w:rFonts w:ascii="Times New Roman" w:eastAsia="Times New Roman" w:hAnsi="Times New Roman" w:cs="Times New Roman"/>
          <w:i/>
          <w:noProof/>
          <w:color w:val="000000" w:themeColor="text1"/>
          <w:sz w:val="24"/>
          <w:szCs w:val="24"/>
        </w:rPr>
        <w:t>k”</w:t>
      </w:r>
      <w:r w:rsidR="00BA405A" w:rsidRPr="00492175">
        <w:rPr>
          <w:rFonts w:ascii="Times New Roman" w:eastAsia="Times New Roman" w:hAnsi="Times New Roman" w:cs="Times New Roman"/>
          <w:noProof/>
          <w:color w:val="000000" w:themeColor="text1"/>
          <w:sz w:val="24"/>
          <w:szCs w:val="24"/>
        </w:rPr>
        <w:t xml:space="preserve"> maddesi meslek o</w:t>
      </w:r>
      <w:r w:rsidR="00861DBD" w:rsidRPr="00492175">
        <w:rPr>
          <w:rFonts w:ascii="Times New Roman" w:eastAsia="Times New Roman" w:hAnsi="Times New Roman" w:cs="Times New Roman"/>
          <w:noProof/>
          <w:color w:val="000000" w:themeColor="text1"/>
          <w:sz w:val="24"/>
          <w:szCs w:val="24"/>
        </w:rPr>
        <w:t>dalarının kendi iç</w:t>
      </w:r>
      <w:r w:rsidR="00BA405A" w:rsidRPr="00492175">
        <w:rPr>
          <w:rFonts w:ascii="Times New Roman" w:eastAsia="Times New Roman" w:hAnsi="Times New Roman" w:cs="Times New Roman"/>
          <w:noProof/>
          <w:color w:val="000000" w:themeColor="text1"/>
          <w:sz w:val="24"/>
          <w:szCs w:val="24"/>
        </w:rPr>
        <w:t xml:space="preserve"> mevzuatına göre b</w:t>
      </w:r>
      <w:r w:rsidR="00A425C2" w:rsidRPr="00492175">
        <w:rPr>
          <w:rFonts w:ascii="Times New Roman" w:eastAsia="Times New Roman" w:hAnsi="Times New Roman" w:cs="Times New Roman"/>
          <w:noProof/>
          <w:color w:val="000000" w:themeColor="text1"/>
          <w:sz w:val="24"/>
          <w:szCs w:val="24"/>
        </w:rPr>
        <w:t xml:space="preserve">ilirkişilik hizmetinin </w:t>
      </w:r>
      <w:r w:rsidR="00861DBD" w:rsidRPr="00492175">
        <w:rPr>
          <w:rFonts w:ascii="Times New Roman" w:eastAsia="Times New Roman" w:hAnsi="Times New Roman" w:cs="Times New Roman"/>
          <w:noProof/>
          <w:color w:val="000000" w:themeColor="text1"/>
          <w:sz w:val="24"/>
          <w:szCs w:val="24"/>
        </w:rPr>
        <w:t>gerçek sahibi</w:t>
      </w:r>
      <w:r w:rsidR="005145FF" w:rsidRPr="00492175">
        <w:rPr>
          <w:rFonts w:ascii="Times New Roman" w:eastAsia="Times New Roman" w:hAnsi="Times New Roman" w:cs="Times New Roman"/>
          <w:noProof/>
          <w:color w:val="000000" w:themeColor="text1"/>
          <w:sz w:val="24"/>
          <w:szCs w:val="24"/>
        </w:rPr>
        <w:t>nin</w:t>
      </w:r>
      <w:r w:rsidR="00A425C2" w:rsidRPr="00492175">
        <w:rPr>
          <w:rFonts w:ascii="Times New Roman" w:eastAsia="Times New Roman" w:hAnsi="Times New Roman" w:cs="Times New Roman"/>
          <w:noProof/>
          <w:color w:val="000000" w:themeColor="text1"/>
          <w:sz w:val="24"/>
          <w:szCs w:val="24"/>
        </w:rPr>
        <w:t xml:space="preserve"> yapmasının önünü a</w:t>
      </w:r>
      <w:r w:rsidR="00BA405A" w:rsidRPr="00492175">
        <w:rPr>
          <w:rFonts w:ascii="Times New Roman" w:eastAsia="Times New Roman" w:hAnsi="Times New Roman" w:cs="Times New Roman"/>
          <w:noProof/>
          <w:color w:val="000000" w:themeColor="text1"/>
          <w:sz w:val="24"/>
          <w:szCs w:val="24"/>
        </w:rPr>
        <w:t>çılmıştır.</w:t>
      </w:r>
    </w:p>
    <w:p w:rsidR="008107AF" w:rsidRPr="00492175" w:rsidRDefault="008107AF" w:rsidP="008107AF">
      <w:pPr>
        <w:numPr>
          <w:ilvl w:val="0"/>
          <w:numId w:val="4"/>
        </w:numPr>
        <w:shd w:val="clear" w:color="auto" w:fill="FFFFFF"/>
        <w:spacing w:after="0" w:line="184" w:lineRule="atLeast"/>
        <w:ind w:hanging="357"/>
        <w:jc w:val="both"/>
        <w:rPr>
          <w:rFonts w:ascii="Times New Roman" w:eastAsia="Times New Roman" w:hAnsi="Times New Roman" w:cs="Times New Roman"/>
          <w:noProof/>
          <w:color w:val="000000" w:themeColor="text1"/>
          <w:sz w:val="24"/>
          <w:szCs w:val="24"/>
          <w:lang w:eastAsia="en-US"/>
        </w:rPr>
      </w:pPr>
      <w:r w:rsidRPr="00492175">
        <w:rPr>
          <w:rFonts w:ascii="Times New Roman" w:hAnsi="Times New Roman" w:cs="Times New Roman"/>
          <w:color w:val="000000" w:themeColor="text1"/>
          <w:sz w:val="24"/>
          <w:szCs w:val="24"/>
        </w:rPr>
        <w:t xml:space="preserve">Yasada bazı temel ilkeler belirlenmiştir. Bilirkişilerin taraflarla görüşmesi, hukuki değerlendirme yapması, özel ve teknik bilgi dışında bilirkişiye başvurulması yasaklanmış, sır saklama yükümlüğüne yer verilmiş, birden fazla bilirkişi görevlendirilmesi gerekçe belirtilmesi koşuluna bağlanmış, bir kez rapor alınmasının esas olduğu belirtilmiştir. </w:t>
      </w:r>
      <w:r w:rsidR="00EA2AF3" w:rsidRPr="00492175">
        <w:rPr>
          <w:rFonts w:ascii="Times New Roman" w:eastAsia="Times New Roman" w:hAnsi="Times New Roman" w:cs="Times New Roman"/>
          <w:noProof/>
          <w:color w:val="000000" w:themeColor="text1"/>
          <w:sz w:val="24"/>
          <w:szCs w:val="24"/>
          <w:lang w:eastAsia="en-US"/>
        </w:rPr>
        <w:t xml:space="preserve">Hukuk öğrenimi görmüş kişiler, hukuk alanı dışında ayrı bir uzmanlığa sahip olduğunu belgelendirmedikçe, bilirkişi olarak görevlendirilemeyecek. </w:t>
      </w:r>
    </w:p>
    <w:p w:rsidR="0002365F" w:rsidRPr="00492175" w:rsidRDefault="0002365F" w:rsidP="008107AF">
      <w:pPr>
        <w:numPr>
          <w:ilvl w:val="0"/>
          <w:numId w:val="4"/>
        </w:numPr>
        <w:shd w:val="clear" w:color="auto" w:fill="FFFFFF"/>
        <w:spacing w:after="0" w:line="184" w:lineRule="atLeast"/>
        <w:ind w:hanging="357"/>
        <w:jc w:val="both"/>
        <w:rPr>
          <w:rFonts w:ascii="Times New Roman" w:eastAsia="Times New Roman" w:hAnsi="Times New Roman" w:cs="Times New Roman"/>
          <w:noProof/>
          <w:color w:val="000000" w:themeColor="text1"/>
          <w:sz w:val="24"/>
          <w:szCs w:val="24"/>
          <w:lang w:eastAsia="en-US"/>
        </w:rPr>
      </w:pPr>
      <w:proofErr w:type="gramStart"/>
      <w:r w:rsidRPr="00492175">
        <w:rPr>
          <w:rFonts w:ascii="Times New Roman" w:hAnsi="Times New Roman" w:cs="Times New Roman"/>
          <w:color w:val="000000" w:themeColor="text1"/>
          <w:sz w:val="24"/>
          <w:szCs w:val="24"/>
        </w:rPr>
        <w:t>Bilirkişilik sicilinden ve listesinden silinme şartları; bilirkişiliğe kabul şartlarının kaybı, kanuni sebep bulunmaksızın bilirkişilik görevinin ifasından kaçınılması, görevin süresi içinde tamamlanmaması, bilirkişinin etik ilkelere aykırı tutum ve davranışları, 3 üncü maddede sayılan temel ilkelere uyulmaması, düşük performans veya yetki süresinin dolması ya da bilirkişinin bizzat talep etmesi sicilden silinme sebepleri olarak sayılmaktadır.</w:t>
      </w:r>
      <w:proofErr w:type="gramEnd"/>
    </w:p>
    <w:p w:rsidR="009E49B0" w:rsidRPr="00492175" w:rsidRDefault="009E49B0" w:rsidP="009E49B0">
      <w:pPr>
        <w:pStyle w:val="ListeParagraf"/>
        <w:numPr>
          <w:ilvl w:val="0"/>
          <w:numId w:val="4"/>
        </w:numPr>
        <w:spacing w:after="0" w:line="240" w:lineRule="auto"/>
        <w:jc w:val="both"/>
        <w:rPr>
          <w:rFonts w:ascii="Times New Roman" w:hAnsi="Times New Roman" w:cs="Times New Roman"/>
          <w:color w:val="000000" w:themeColor="text1"/>
          <w:sz w:val="24"/>
          <w:szCs w:val="24"/>
        </w:rPr>
      </w:pPr>
      <w:r w:rsidRPr="00492175">
        <w:rPr>
          <w:rFonts w:ascii="Times New Roman" w:hAnsi="Times New Roman" w:cs="Times New Roman"/>
          <w:color w:val="000000" w:themeColor="text1"/>
          <w:sz w:val="24"/>
          <w:szCs w:val="24"/>
        </w:rPr>
        <w:t xml:space="preserve">Bilirkişilerin raporlarının incelenmesi ve faaliyetlerinin denetlenmesi Bölge Kurulları tarafından yapılacaktır. </w:t>
      </w:r>
      <w:proofErr w:type="spellStart"/>
      <w:r w:rsidRPr="00492175">
        <w:rPr>
          <w:rFonts w:ascii="Times New Roman" w:hAnsi="Times New Roman" w:cs="Times New Roman"/>
          <w:color w:val="000000" w:themeColor="text1"/>
          <w:sz w:val="24"/>
          <w:szCs w:val="24"/>
        </w:rPr>
        <w:t>Re’sen</w:t>
      </w:r>
      <w:proofErr w:type="spellEnd"/>
      <w:r w:rsidRPr="00492175">
        <w:rPr>
          <w:rFonts w:ascii="Times New Roman" w:hAnsi="Times New Roman" w:cs="Times New Roman"/>
          <w:color w:val="000000" w:themeColor="text1"/>
          <w:sz w:val="24"/>
          <w:szCs w:val="24"/>
        </w:rPr>
        <w:t xml:space="preserve"> veya </w:t>
      </w:r>
      <w:proofErr w:type="gramStart"/>
      <w:r w:rsidRPr="00492175">
        <w:rPr>
          <w:rFonts w:ascii="Times New Roman" w:hAnsi="Times New Roman" w:cs="Times New Roman"/>
          <w:color w:val="000000" w:themeColor="text1"/>
          <w:sz w:val="24"/>
          <w:szCs w:val="24"/>
        </w:rPr>
        <w:t>şikayet</w:t>
      </w:r>
      <w:proofErr w:type="gramEnd"/>
      <w:r w:rsidRPr="00492175">
        <w:rPr>
          <w:rFonts w:ascii="Times New Roman" w:hAnsi="Times New Roman" w:cs="Times New Roman"/>
          <w:color w:val="000000" w:themeColor="text1"/>
          <w:sz w:val="24"/>
          <w:szCs w:val="24"/>
        </w:rPr>
        <w:t xml:space="preserve"> üzerine denetim yapılmaktadır. </w:t>
      </w:r>
      <w:proofErr w:type="gramStart"/>
      <w:r w:rsidRPr="00492175">
        <w:rPr>
          <w:rFonts w:ascii="Times New Roman" w:hAnsi="Times New Roman" w:cs="Times New Roman"/>
          <w:color w:val="000000" w:themeColor="text1"/>
          <w:sz w:val="24"/>
          <w:szCs w:val="24"/>
        </w:rPr>
        <w:t>Hakim</w:t>
      </w:r>
      <w:proofErr w:type="gramEnd"/>
      <w:r w:rsidRPr="00492175">
        <w:rPr>
          <w:rFonts w:ascii="Times New Roman" w:hAnsi="Times New Roman" w:cs="Times New Roman"/>
          <w:color w:val="000000" w:themeColor="text1"/>
          <w:sz w:val="24"/>
          <w:szCs w:val="24"/>
        </w:rPr>
        <w:t xml:space="preserve"> ve savcılar da inceleme ve denetim için Bölge Kurullarına bildirimde bulunacaktır. Yapılan inceleme sonucunda bilirkişi hakkında yasaklama kararı verilebilir. </w:t>
      </w:r>
    </w:p>
    <w:p w:rsidR="009E49B0" w:rsidRPr="00492175" w:rsidRDefault="000A2847" w:rsidP="009E49B0">
      <w:pPr>
        <w:pStyle w:val="ListeParagraf"/>
        <w:numPr>
          <w:ilvl w:val="0"/>
          <w:numId w:val="4"/>
        </w:numPr>
        <w:spacing w:after="0" w:line="240" w:lineRule="auto"/>
        <w:jc w:val="both"/>
        <w:rPr>
          <w:rFonts w:ascii="Times New Roman" w:hAnsi="Times New Roman" w:cs="Times New Roman"/>
          <w:color w:val="000000" w:themeColor="text1"/>
          <w:sz w:val="24"/>
          <w:szCs w:val="24"/>
        </w:rPr>
      </w:pPr>
      <w:r w:rsidRPr="00492175">
        <w:rPr>
          <w:rFonts w:ascii="Times New Roman" w:hAnsi="Times New Roman" w:cs="Times New Roman"/>
          <w:color w:val="000000" w:themeColor="text1"/>
          <w:sz w:val="24"/>
          <w:szCs w:val="24"/>
        </w:rPr>
        <w:t>Ayrıca u</w:t>
      </w:r>
      <w:r w:rsidR="009E49B0" w:rsidRPr="00492175">
        <w:rPr>
          <w:rFonts w:ascii="Times New Roman" w:hAnsi="Times New Roman" w:cs="Times New Roman"/>
          <w:color w:val="000000" w:themeColor="text1"/>
          <w:sz w:val="24"/>
          <w:szCs w:val="24"/>
        </w:rPr>
        <w:t>sul kanunları ile diğer kanunlardaki bilirkişilikle ilgili düzenlemelerin bu kanunla uyumunu sağlamak üzere bazı değişiklikler yapılmaktadır.</w:t>
      </w:r>
    </w:p>
    <w:p w:rsidR="00F73060" w:rsidRPr="00492175" w:rsidRDefault="00F73060" w:rsidP="00F73060">
      <w:pPr>
        <w:pStyle w:val="ListeParagraf"/>
        <w:numPr>
          <w:ilvl w:val="0"/>
          <w:numId w:val="14"/>
        </w:numPr>
        <w:jc w:val="both"/>
        <w:rPr>
          <w:rFonts w:ascii="Times New Roman" w:hAnsi="Times New Roman" w:cs="Times New Roman"/>
          <w:color w:val="000000" w:themeColor="text1"/>
          <w:sz w:val="24"/>
          <w:szCs w:val="24"/>
        </w:rPr>
      </w:pPr>
      <w:r w:rsidRPr="00492175">
        <w:rPr>
          <w:rFonts w:ascii="Times New Roman" w:hAnsi="Times New Roman" w:cs="Times New Roman"/>
          <w:color w:val="000000" w:themeColor="text1"/>
          <w:sz w:val="24"/>
          <w:szCs w:val="24"/>
        </w:rPr>
        <w:t>Askeri ve idari yargıda bilirkişiler Bölge Kurullarının listesinden seçilmesi için ilgili kanunlarda değişiklik yapılmaktadır.</w:t>
      </w:r>
    </w:p>
    <w:p w:rsidR="00CB0B01" w:rsidRPr="00492175" w:rsidRDefault="00CB0B01" w:rsidP="00F73060">
      <w:pPr>
        <w:pStyle w:val="ListeParagraf"/>
        <w:numPr>
          <w:ilvl w:val="0"/>
          <w:numId w:val="14"/>
        </w:numPr>
        <w:jc w:val="both"/>
        <w:rPr>
          <w:rFonts w:ascii="Times New Roman" w:hAnsi="Times New Roman" w:cs="Times New Roman"/>
          <w:color w:val="000000" w:themeColor="text1"/>
          <w:sz w:val="24"/>
          <w:szCs w:val="24"/>
        </w:rPr>
      </w:pPr>
      <w:r w:rsidRPr="00492175">
        <w:rPr>
          <w:rFonts w:ascii="Times New Roman" w:hAnsi="Times New Roman" w:cs="Times New Roman"/>
          <w:color w:val="000000" w:themeColor="text1"/>
          <w:sz w:val="24"/>
          <w:szCs w:val="24"/>
        </w:rPr>
        <w:t>Adli Tıp Kurumu Kanununda kurullar ve uzmanlıklarla ilgili değişiklikler yapılmıştır.</w:t>
      </w:r>
    </w:p>
    <w:p w:rsidR="00F73060" w:rsidRPr="00492175" w:rsidRDefault="00F73060" w:rsidP="00F73060">
      <w:pPr>
        <w:pStyle w:val="ListeParagraf"/>
        <w:numPr>
          <w:ilvl w:val="0"/>
          <w:numId w:val="14"/>
        </w:numPr>
        <w:jc w:val="both"/>
        <w:rPr>
          <w:rFonts w:ascii="Times New Roman" w:hAnsi="Times New Roman" w:cs="Times New Roman"/>
          <w:color w:val="000000" w:themeColor="text1"/>
          <w:sz w:val="24"/>
          <w:szCs w:val="24"/>
        </w:rPr>
      </w:pPr>
      <w:r w:rsidRPr="00492175">
        <w:rPr>
          <w:rFonts w:ascii="Times New Roman" w:hAnsi="Times New Roman" w:cs="Times New Roman"/>
          <w:bCs/>
          <w:color w:val="000000" w:themeColor="text1"/>
          <w:sz w:val="24"/>
          <w:szCs w:val="24"/>
        </w:rPr>
        <w:t xml:space="preserve">Bilirkişi seçimi ve görevlendirmesi sırasında kanunlarla belirlenen kurallara uymamak </w:t>
      </w:r>
      <w:proofErr w:type="gramStart"/>
      <w:r w:rsidRPr="00492175">
        <w:rPr>
          <w:rFonts w:ascii="Times New Roman" w:hAnsi="Times New Roman" w:cs="Times New Roman"/>
          <w:bCs/>
          <w:color w:val="000000" w:themeColor="text1"/>
          <w:sz w:val="24"/>
          <w:szCs w:val="24"/>
        </w:rPr>
        <w:t>hakim</w:t>
      </w:r>
      <w:proofErr w:type="gramEnd"/>
      <w:r w:rsidRPr="00492175">
        <w:rPr>
          <w:rFonts w:ascii="Times New Roman" w:hAnsi="Times New Roman" w:cs="Times New Roman"/>
          <w:bCs/>
          <w:color w:val="000000" w:themeColor="text1"/>
          <w:sz w:val="24"/>
          <w:szCs w:val="24"/>
        </w:rPr>
        <w:t xml:space="preserve"> ve savcılara kınama cezası verilmesini gerektiren eylemler arasında sayılmaktadır. </w:t>
      </w:r>
    </w:p>
    <w:p w:rsidR="00CB0B01" w:rsidRPr="00492175" w:rsidRDefault="00CB0B01" w:rsidP="00CB0B01">
      <w:pPr>
        <w:pStyle w:val="ListeParagraf"/>
        <w:numPr>
          <w:ilvl w:val="0"/>
          <w:numId w:val="14"/>
        </w:numPr>
        <w:jc w:val="both"/>
        <w:rPr>
          <w:rFonts w:ascii="Times New Roman" w:hAnsi="Times New Roman" w:cs="Times New Roman"/>
          <w:color w:val="000000" w:themeColor="text1"/>
          <w:sz w:val="24"/>
          <w:szCs w:val="24"/>
        </w:rPr>
      </w:pPr>
      <w:r w:rsidRPr="00492175">
        <w:rPr>
          <w:rFonts w:ascii="Times New Roman" w:hAnsi="Times New Roman" w:cs="Times New Roman"/>
          <w:bCs/>
          <w:color w:val="000000" w:themeColor="text1"/>
          <w:sz w:val="24"/>
          <w:szCs w:val="24"/>
        </w:rPr>
        <w:t xml:space="preserve">Kamulaştırma Kanunu’nun 15. </w:t>
      </w:r>
      <w:r w:rsidR="000A2847" w:rsidRPr="00492175">
        <w:rPr>
          <w:rFonts w:ascii="Times New Roman" w:hAnsi="Times New Roman" w:cs="Times New Roman"/>
          <w:bCs/>
          <w:color w:val="000000" w:themeColor="text1"/>
          <w:sz w:val="24"/>
          <w:szCs w:val="24"/>
        </w:rPr>
        <w:t>m</w:t>
      </w:r>
      <w:r w:rsidRPr="00492175">
        <w:rPr>
          <w:rFonts w:ascii="Times New Roman" w:hAnsi="Times New Roman" w:cs="Times New Roman"/>
          <w:bCs/>
          <w:color w:val="000000" w:themeColor="text1"/>
          <w:sz w:val="24"/>
          <w:szCs w:val="24"/>
        </w:rPr>
        <w:t>addesi yürürlükten kaldırılmıştır.</w:t>
      </w:r>
    </w:p>
    <w:p w:rsidR="00CB0B01" w:rsidRPr="00492175" w:rsidRDefault="00CB0B01" w:rsidP="00CB0B01">
      <w:pPr>
        <w:pStyle w:val="ListeParagraf"/>
        <w:numPr>
          <w:ilvl w:val="0"/>
          <w:numId w:val="14"/>
        </w:numPr>
        <w:jc w:val="both"/>
        <w:rPr>
          <w:rFonts w:ascii="Times New Roman" w:hAnsi="Times New Roman" w:cs="Times New Roman"/>
          <w:color w:val="000000" w:themeColor="text1"/>
          <w:sz w:val="24"/>
          <w:szCs w:val="24"/>
        </w:rPr>
      </w:pPr>
      <w:r w:rsidRPr="00492175">
        <w:rPr>
          <w:rFonts w:ascii="Times New Roman" w:hAnsi="Times New Roman" w:cs="Times New Roman"/>
          <w:color w:val="000000" w:themeColor="text1"/>
          <w:sz w:val="24"/>
          <w:szCs w:val="24"/>
        </w:rPr>
        <w:t xml:space="preserve">Kamulaştırma bedelinin tespiti ve taşınmaz malın tesciline ilişkin davalarda </w:t>
      </w:r>
      <w:proofErr w:type="spellStart"/>
      <w:r w:rsidRPr="00492175">
        <w:rPr>
          <w:rFonts w:ascii="Times New Roman" w:hAnsi="Times New Roman" w:cs="Times New Roman"/>
          <w:color w:val="000000" w:themeColor="text1"/>
          <w:sz w:val="24"/>
          <w:szCs w:val="24"/>
        </w:rPr>
        <w:t>SPK’ya</w:t>
      </w:r>
      <w:proofErr w:type="spellEnd"/>
      <w:r w:rsidRPr="00492175">
        <w:rPr>
          <w:rFonts w:ascii="Times New Roman" w:hAnsi="Times New Roman" w:cs="Times New Roman"/>
          <w:color w:val="000000" w:themeColor="text1"/>
          <w:sz w:val="24"/>
          <w:szCs w:val="24"/>
        </w:rPr>
        <w:t xml:space="preserve"> kayıtlı faaliyet gösteren değerleme uzmanlarından seçilecek bilirkişiler için Bölge Kurullarının listelerinde bulunma şartı eklenmiştir.</w:t>
      </w:r>
    </w:p>
    <w:p w:rsidR="00CB0B01" w:rsidRPr="00492175" w:rsidRDefault="008C6C42" w:rsidP="00CB0B01">
      <w:pPr>
        <w:pStyle w:val="ListeParagraf"/>
        <w:numPr>
          <w:ilvl w:val="0"/>
          <w:numId w:val="14"/>
        </w:numPr>
        <w:jc w:val="both"/>
        <w:rPr>
          <w:rFonts w:ascii="Times New Roman" w:hAnsi="Times New Roman" w:cs="Times New Roman"/>
          <w:color w:val="000000" w:themeColor="text1"/>
          <w:sz w:val="24"/>
          <w:szCs w:val="24"/>
        </w:rPr>
      </w:pPr>
      <w:r w:rsidRPr="00492175">
        <w:rPr>
          <w:rFonts w:ascii="Times New Roman" w:hAnsi="Times New Roman" w:cs="Times New Roman"/>
          <w:bCs/>
          <w:color w:val="000000" w:themeColor="text1"/>
          <w:sz w:val="24"/>
          <w:szCs w:val="24"/>
        </w:rPr>
        <w:t xml:space="preserve">Aynı şekilde </w:t>
      </w:r>
      <w:r w:rsidR="00CB0B01" w:rsidRPr="00492175">
        <w:rPr>
          <w:rFonts w:ascii="Times New Roman" w:hAnsi="Times New Roman" w:cs="Times New Roman"/>
          <w:bCs/>
          <w:color w:val="000000" w:themeColor="text1"/>
          <w:sz w:val="24"/>
          <w:szCs w:val="24"/>
        </w:rPr>
        <w:t>5366 sayılı Yasaya</w:t>
      </w:r>
      <w:r w:rsidR="000A2847" w:rsidRPr="00492175">
        <w:rPr>
          <w:rFonts w:ascii="Times New Roman" w:hAnsi="Times New Roman" w:cs="Times New Roman"/>
          <w:bCs/>
          <w:color w:val="000000" w:themeColor="text1"/>
          <w:sz w:val="24"/>
          <w:szCs w:val="24"/>
        </w:rPr>
        <w:t>,</w:t>
      </w:r>
      <w:r w:rsidR="00CB0B01" w:rsidRPr="00492175">
        <w:rPr>
          <w:rFonts w:ascii="Times New Roman" w:hAnsi="Times New Roman" w:cs="Times New Roman"/>
          <w:bCs/>
          <w:color w:val="000000" w:themeColor="text1"/>
          <w:sz w:val="24"/>
          <w:szCs w:val="24"/>
        </w:rPr>
        <w:t xml:space="preserve"> </w:t>
      </w:r>
      <w:r w:rsidRPr="00492175">
        <w:rPr>
          <w:rFonts w:ascii="Times New Roman" w:hAnsi="Times New Roman" w:cs="Times New Roman"/>
          <w:bCs/>
          <w:color w:val="000000" w:themeColor="text1"/>
          <w:sz w:val="24"/>
          <w:szCs w:val="24"/>
        </w:rPr>
        <w:t xml:space="preserve">bu kanun kapsamında açılacak </w:t>
      </w:r>
      <w:r w:rsidR="00CB0B01" w:rsidRPr="00492175">
        <w:rPr>
          <w:rFonts w:ascii="Times New Roman" w:hAnsi="Times New Roman" w:cs="Times New Roman"/>
          <w:color w:val="000000" w:themeColor="text1"/>
          <w:sz w:val="24"/>
          <w:szCs w:val="24"/>
        </w:rPr>
        <w:t xml:space="preserve">kamulaştırma bedelinin tespiti ve taşınmaz malın tesciline ilişkin davalarda </w:t>
      </w:r>
      <w:r w:rsidRPr="00492175">
        <w:rPr>
          <w:rFonts w:ascii="Times New Roman" w:hAnsi="Times New Roman" w:cs="Times New Roman"/>
          <w:color w:val="000000" w:themeColor="text1"/>
          <w:sz w:val="24"/>
          <w:szCs w:val="24"/>
        </w:rPr>
        <w:t xml:space="preserve">Kamulaştırma Kanunu’nun 15. maddesine atıf yapılarak </w:t>
      </w:r>
      <w:proofErr w:type="spellStart"/>
      <w:r w:rsidRPr="00492175">
        <w:rPr>
          <w:rFonts w:ascii="Times New Roman" w:hAnsi="Times New Roman" w:cs="Times New Roman"/>
          <w:color w:val="000000" w:themeColor="text1"/>
          <w:sz w:val="24"/>
          <w:szCs w:val="24"/>
        </w:rPr>
        <w:t>SPK’ya</w:t>
      </w:r>
      <w:proofErr w:type="spellEnd"/>
      <w:r w:rsidRPr="00492175">
        <w:rPr>
          <w:rFonts w:ascii="Times New Roman" w:hAnsi="Times New Roman" w:cs="Times New Roman"/>
          <w:color w:val="000000" w:themeColor="text1"/>
          <w:sz w:val="24"/>
          <w:szCs w:val="24"/>
        </w:rPr>
        <w:t xml:space="preserve"> kayıtlı faaliyet gösteren değerleme uzmanlarından seçilecek bilirkişiler için Bölge Kurullarının listelerinde bulunma şartı eklenmiştir.</w:t>
      </w:r>
    </w:p>
    <w:p w:rsidR="008C6C42" w:rsidRPr="00492175" w:rsidRDefault="008C6C42" w:rsidP="008C6C42">
      <w:pPr>
        <w:pStyle w:val="ListeParagraf"/>
        <w:numPr>
          <w:ilvl w:val="0"/>
          <w:numId w:val="14"/>
        </w:numPr>
        <w:jc w:val="both"/>
        <w:rPr>
          <w:rFonts w:ascii="Times New Roman" w:hAnsi="Times New Roman" w:cs="Times New Roman"/>
          <w:color w:val="000000" w:themeColor="text1"/>
          <w:sz w:val="24"/>
          <w:szCs w:val="24"/>
        </w:rPr>
      </w:pPr>
      <w:r w:rsidRPr="00492175">
        <w:rPr>
          <w:rFonts w:ascii="Times New Roman" w:hAnsi="Times New Roman" w:cs="Times New Roman"/>
          <w:bCs/>
          <w:color w:val="000000" w:themeColor="text1"/>
          <w:sz w:val="24"/>
          <w:szCs w:val="24"/>
        </w:rPr>
        <w:t>Ceza ve Hukuk Usulü Kanunlarındaki düzenlemeler bu taslaktaki düzenlemelere uygun olarak değiştirilmektedir.</w:t>
      </w:r>
    </w:p>
    <w:p w:rsidR="00F73060" w:rsidRPr="00492175" w:rsidRDefault="00CB0B01" w:rsidP="0043221F">
      <w:pPr>
        <w:pStyle w:val="ListeParagraf"/>
        <w:numPr>
          <w:ilvl w:val="0"/>
          <w:numId w:val="14"/>
        </w:numPr>
        <w:jc w:val="both"/>
        <w:rPr>
          <w:rFonts w:ascii="Times New Roman" w:hAnsi="Times New Roman" w:cs="Times New Roman"/>
          <w:color w:val="000000" w:themeColor="text1"/>
          <w:sz w:val="24"/>
          <w:szCs w:val="24"/>
        </w:rPr>
      </w:pPr>
      <w:r w:rsidRPr="00492175">
        <w:rPr>
          <w:rFonts w:ascii="Times New Roman" w:eastAsia="Times New Roman" w:hAnsi="Times New Roman" w:cs="Times New Roman"/>
          <w:noProof/>
          <w:color w:val="000000" w:themeColor="text1"/>
          <w:sz w:val="24"/>
          <w:szCs w:val="24"/>
        </w:rPr>
        <w:t>Gerçeğe aykırı bilirkişilik yapanlara öngörülen 1 yıldan 3 yıla kadar hapis cezası, 3 yıldan 7 yıla çıkarılmıştır.</w:t>
      </w:r>
    </w:p>
    <w:p w:rsidR="00F73060" w:rsidRPr="00492175" w:rsidRDefault="00F73060" w:rsidP="00F73060">
      <w:pPr>
        <w:pStyle w:val="ListeParagraf"/>
        <w:spacing w:after="0" w:line="240" w:lineRule="auto"/>
        <w:ind w:left="1080"/>
        <w:jc w:val="both"/>
        <w:rPr>
          <w:rFonts w:ascii="Times New Roman" w:hAnsi="Times New Roman" w:cs="Times New Roman"/>
          <w:color w:val="000000" w:themeColor="text1"/>
          <w:sz w:val="24"/>
          <w:szCs w:val="24"/>
        </w:rPr>
      </w:pPr>
    </w:p>
    <w:p w:rsidR="005F62BB" w:rsidRPr="00492175" w:rsidRDefault="005F62BB" w:rsidP="003D7DC0">
      <w:pPr>
        <w:tabs>
          <w:tab w:val="left" w:pos="142"/>
        </w:tabs>
        <w:spacing w:after="0"/>
        <w:ind w:left="924"/>
        <w:jc w:val="both"/>
        <w:rPr>
          <w:rFonts w:ascii="Times New Roman" w:eastAsia="Times New Roman" w:hAnsi="Times New Roman" w:cs="Times New Roman"/>
          <w:noProof/>
          <w:color w:val="000000" w:themeColor="text1"/>
          <w:sz w:val="24"/>
          <w:szCs w:val="24"/>
        </w:rPr>
      </w:pPr>
    </w:p>
    <w:p w:rsidR="00EA2AF3" w:rsidRPr="00492175" w:rsidRDefault="00EA2AF3" w:rsidP="00EA2AF3">
      <w:pPr>
        <w:shd w:val="clear" w:color="auto" w:fill="FFFFFF"/>
        <w:spacing w:after="0" w:line="184" w:lineRule="atLeast"/>
        <w:jc w:val="both"/>
        <w:rPr>
          <w:rFonts w:ascii="Times New Roman" w:eastAsia="Times New Roman" w:hAnsi="Times New Roman" w:cs="Times New Roman"/>
          <w:color w:val="000000" w:themeColor="text1"/>
          <w:sz w:val="24"/>
          <w:szCs w:val="24"/>
        </w:rPr>
      </w:pPr>
      <w:r w:rsidRPr="00492175">
        <w:rPr>
          <w:rFonts w:ascii="Times New Roman" w:eastAsia="Times New Roman" w:hAnsi="Times New Roman" w:cs="Times New Roman"/>
          <w:color w:val="000000" w:themeColor="text1"/>
          <w:sz w:val="24"/>
          <w:szCs w:val="24"/>
        </w:rPr>
        <w:t> </w:t>
      </w:r>
    </w:p>
    <w:p w:rsidR="00F0273F" w:rsidRPr="00492175" w:rsidRDefault="00F0273F" w:rsidP="003D7DC0">
      <w:pPr>
        <w:tabs>
          <w:tab w:val="left" w:pos="142"/>
        </w:tabs>
        <w:jc w:val="both"/>
        <w:rPr>
          <w:rFonts w:ascii="Times New Roman" w:eastAsia="Times New Roman" w:hAnsi="Times New Roman" w:cs="Times New Roman"/>
          <w:noProof/>
          <w:color w:val="000000" w:themeColor="text1"/>
          <w:sz w:val="24"/>
          <w:szCs w:val="24"/>
        </w:rPr>
      </w:pPr>
    </w:p>
    <w:p w:rsidR="00492175" w:rsidRPr="00492175" w:rsidRDefault="00492175">
      <w:pPr>
        <w:tabs>
          <w:tab w:val="left" w:pos="142"/>
        </w:tabs>
        <w:jc w:val="both"/>
        <w:rPr>
          <w:rFonts w:ascii="Times New Roman" w:eastAsia="Times New Roman" w:hAnsi="Times New Roman" w:cs="Times New Roman"/>
          <w:noProof/>
          <w:color w:val="000000" w:themeColor="text1"/>
          <w:sz w:val="24"/>
          <w:szCs w:val="24"/>
        </w:rPr>
      </w:pPr>
    </w:p>
    <w:sectPr w:rsidR="00492175" w:rsidRPr="00492175" w:rsidSect="003D7DC0">
      <w:pgSz w:w="11906" w:h="16838"/>
      <w:pgMar w:top="1417" w:right="1417"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39D"/>
    <w:multiLevelType w:val="multilevel"/>
    <w:tmpl w:val="8798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C5C6A"/>
    <w:multiLevelType w:val="hybridMultilevel"/>
    <w:tmpl w:val="7164959E"/>
    <w:lvl w:ilvl="0" w:tplc="350C8608">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F306A6"/>
    <w:multiLevelType w:val="hybridMultilevel"/>
    <w:tmpl w:val="173A53DA"/>
    <w:lvl w:ilvl="0" w:tplc="DE2E10E8">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8535224"/>
    <w:multiLevelType w:val="multilevel"/>
    <w:tmpl w:val="CC92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63783C"/>
    <w:multiLevelType w:val="hybridMultilevel"/>
    <w:tmpl w:val="88B4C3A2"/>
    <w:lvl w:ilvl="0" w:tplc="CF348630">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2F894F3F"/>
    <w:multiLevelType w:val="multilevel"/>
    <w:tmpl w:val="D32E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9B4ADA"/>
    <w:multiLevelType w:val="hybridMultilevel"/>
    <w:tmpl w:val="AAB4558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7">
    <w:nsid w:val="4C040A16"/>
    <w:multiLevelType w:val="multilevel"/>
    <w:tmpl w:val="5F32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442163"/>
    <w:multiLevelType w:val="hybridMultilevel"/>
    <w:tmpl w:val="15BE6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8BB55E5"/>
    <w:multiLevelType w:val="multilevel"/>
    <w:tmpl w:val="025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8140843"/>
    <w:multiLevelType w:val="hybridMultilevel"/>
    <w:tmpl w:val="625E0B7C"/>
    <w:lvl w:ilvl="0" w:tplc="089A622A">
      <w:start w:val="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CFE1C6E"/>
    <w:multiLevelType w:val="multilevel"/>
    <w:tmpl w:val="C14C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4924E0E"/>
    <w:multiLevelType w:val="hybridMultilevel"/>
    <w:tmpl w:val="F744ABE4"/>
    <w:lvl w:ilvl="0" w:tplc="7F647C6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8954247"/>
    <w:multiLevelType w:val="multilevel"/>
    <w:tmpl w:val="CE2E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12"/>
  </w:num>
  <w:num w:numId="4">
    <w:abstractNumId w:val="8"/>
  </w:num>
  <w:num w:numId="5">
    <w:abstractNumId w:val="3"/>
  </w:num>
  <w:num w:numId="6">
    <w:abstractNumId w:val="9"/>
  </w:num>
  <w:num w:numId="7">
    <w:abstractNumId w:val="11"/>
  </w:num>
  <w:num w:numId="8">
    <w:abstractNumId w:val="5"/>
  </w:num>
  <w:num w:numId="9">
    <w:abstractNumId w:val="0"/>
  </w:num>
  <w:num w:numId="10">
    <w:abstractNumId w:val="7"/>
  </w:num>
  <w:num w:numId="11">
    <w:abstractNumId w:val="13"/>
  </w:num>
  <w:num w:numId="12">
    <w:abstractNumId w:val="1"/>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06F43"/>
    <w:rsid w:val="00006498"/>
    <w:rsid w:val="0001583A"/>
    <w:rsid w:val="0002365F"/>
    <w:rsid w:val="0006404D"/>
    <w:rsid w:val="000866DA"/>
    <w:rsid w:val="000A2847"/>
    <w:rsid w:val="000B07F0"/>
    <w:rsid w:val="00114F8E"/>
    <w:rsid w:val="00116C8D"/>
    <w:rsid w:val="0026031E"/>
    <w:rsid w:val="003D7DC0"/>
    <w:rsid w:val="00413061"/>
    <w:rsid w:val="0043221F"/>
    <w:rsid w:val="00492175"/>
    <w:rsid w:val="004E1665"/>
    <w:rsid w:val="004E377F"/>
    <w:rsid w:val="00504053"/>
    <w:rsid w:val="005145FF"/>
    <w:rsid w:val="0058026A"/>
    <w:rsid w:val="0058474F"/>
    <w:rsid w:val="005F62BB"/>
    <w:rsid w:val="00606CA1"/>
    <w:rsid w:val="006D3AC2"/>
    <w:rsid w:val="006E15D4"/>
    <w:rsid w:val="008107AF"/>
    <w:rsid w:val="00817A2A"/>
    <w:rsid w:val="00861DBD"/>
    <w:rsid w:val="008C573E"/>
    <w:rsid w:val="008C6C42"/>
    <w:rsid w:val="009E49B0"/>
    <w:rsid w:val="00A1352F"/>
    <w:rsid w:val="00A425C2"/>
    <w:rsid w:val="00A60C09"/>
    <w:rsid w:val="00A85100"/>
    <w:rsid w:val="00AD6C6B"/>
    <w:rsid w:val="00B47219"/>
    <w:rsid w:val="00BA405A"/>
    <w:rsid w:val="00BF4B11"/>
    <w:rsid w:val="00CB0B01"/>
    <w:rsid w:val="00CE6B8B"/>
    <w:rsid w:val="00D43071"/>
    <w:rsid w:val="00D46D19"/>
    <w:rsid w:val="00D51C33"/>
    <w:rsid w:val="00DF2D4E"/>
    <w:rsid w:val="00E06F43"/>
    <w:rsid w:val="00E62755"/>
    <w:rsid w:val="00E94BB0"/>
    <w:rsid w:val="00EA2AF3"/>
    <w:rsid w:val="00F0273F"/>
    <w:rsid w:val="00F72DE9"/>
    <w:rsid w:val="00F73060"/>
    <w:rsid w:val="00FB6BD2"/>
    <w:rsid w:val="00FD7E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A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6F43"/>
    <w:pPr>
      <w:ind w:left="720"/>
      <w:contextualSpacing/>
    </w:pPr>
    <w:rPr>
      <w:rFonts w:eastAsiaTheme="minorHAnsi"/>
      <w:lang w:eastAsia="en-US"/>
    </w:rPr>
  </w:style>
  <w:style w:type="paragraph" w:customStyle="1" w:styleId="Gvdemetni1">
    <w:name w:val="Gövde metni1"/>
    <w:basedOn w:val="Normal"/>
    <w:uiPriority w:val="99"/>
    <w:rsid w:val="000866DA"/>
    <w:pPr>
      <w:widowControl w:val="0"/>
      <w:shd w:val="clear" w:color="auto" w:fill="FFFFFF"/>
      <w:spacing w:after="240" w:line="240" w:lineRule="atLeast"/>
      <w:ind w:hanging="720"/>
      <w:jc w:val="center"/>
    </w:pPr>
    <w:rPr>
      <w:rFonts w:ascii="Times New Roman" w:eastAsiaTheme="minorHAnsi" w:hAnsi="Times New Roman" w:cs="Times New Roman"/>
      <w:spacing w:val="5"/>
      <w:sz w:val="21"/>
      <w:szCs w:val="21"/>
      <w:lang w:eastAsia="en-US"/>
    </w:rPr>
  </w:style>
  <w:style w:type="character" w:customStyle="1" w:styleId="Gvdemetni">
    <w:name w:val="Gövde metni_"/>
    <w:link w:val="Gvdemetni0"/>
    <w:uiPriority w:val="99"/>
    <w:rsid w:val="00E94BB0"/>
    <w:rPr>
      <w:spacing w:val="-3"/>
      <w:shd w:val="clear" w:color="auto" w:fill="FFFFFF"/>
    </w:rPr>
  </w:style>
  <w:style w:type="paragraph" w:customStyle="1" w:styleId="Gvdemetni0">
    <w:name w:val="Gövde metni"/>
    <w:basedOn w:val="Normal"/>
    <w:link w:val="Gvdemetni"/>
    <w:rsid w:val="00E94BB0"/>
    <w:pPr>
      <w:widowControl w:val="0"/>
      <w:shd w:val="clear" w:color="auto" w:fill="FFFFFF"/>
      <w:spacing w:after="0" w:line="0" w:lineRule="atLeast"/>
      <w:ind w:hanging="380"/>
      <w:jc w:val="center"/>
    </w:pPr>
    <w:rPr>
      <w:spacing w:val="-3"/>
    </w:rPr>
  </w:style>
  <w:style w:type="character" w:styleId="Gl">
    <w:name w:val="Strong"/>
    <w:basedOn w:val="VarsaylanParagrafYazTipi"/>
    <w:uiPriority w:val="22"/>
    <w:qFormat/>
    <w:rsid w:val="00EA2AF3"/>
    <w:rPr>
      <w:b/>
      <w:bCs/>
    </w:rPr>
  </w:style>
  <w:style w:type="character" w:customStyle="1" w:styleId="apple-converted-space">
    <w:name w:val="apple-converted-space"/>
    <w:basedOn w:val="VarsaylanParagrafYazTipi"/>
    <w:rsid w:val="00EA2AF3"/>
  </w:style>
  <w:style w:type="paragraph" w:customStyle="1" w:styleId="Default">
    <w:name w:val="Default"/>
    <w:rsid w:val="00F7306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947426826">
      <w:bodyDiv w:val="1"/>
      <w:marLeft w:val="0"/>
      <w:marRight w:val="0"/>
      <w:marTop w:val="0"/>
      <w:marBottom w:val="0"/>
      <w:divBdr>
        <w:top w:val="none" w:sz="0" w:space="0" w:color="auto"/>
        <w:left w:val="none" w:sz="0" w:space="0" w:color="auto"/>
        <w:bottom w:val="none" w:sz="0" w:space="0" w:color="auto"/>
        <w:right w:val="none" w:sz="0" w:space="0" w:color="auto"/>
      </w:divBdr>
      <w:divsChild>
        <w:div w:id="731150490">
          <w:marLeft w:val="0"/>
          <w:marRight w:val="0"/>
          <w:marTop w:val="0"/>
          <w:marBottom w:val="200"/>
          <w:divBdr>
            <w:top w:val="none" w:sz="0" w:space="0" w:color="auto"/>
            <w:left w:val="none" w:sz="0" w:space="0" w:color="auto"/>
            <w:bottom w:val="none" w:sz="0" w:space="0" w:color="auto"/>
            <w:right w:val="none" w:sz="0" w:space="0" w:color="auto"/>
          </w:divBdr>
        </w:div>
        <w:div w:id="1681850634">
          <w:marLeft w:val="0"/>
          <w:marRight w:val="0"/>
          <w:marTop w:val="0"/>
          <w:marBottom w:val="200"/>
          <w:divBdr>
            <w:top w:val="none" w:sz="0" w:space="0" w:color="auto"/>
            <w:left w:val="none" w:sz="0" w:space="0" w:color="auto"/>
            <w:bottom w:val="none" w:sz="0" w:space="0" w:color="auto"/>
            <w:right w:val="none" w:sz="0" w:space="0" w:color="auto"/>
          </w:divBdr>
        </w:div>
        <w:div w:id="863861897">
          <w:marLeft w:val="0"/>
          <w:marRight w:val="0"/>
          <w:marTop w:val="0"/>
          <w:marBottom w:val="200"/>
          <w:divBdr>
            <w:top w:val="none" w:sz="0" w:space="0" w:color="auto"/>
            <w:left w:val="none" w:sz="0" w:space="0" w:color="auto"/>
            <w:bottom w:val="none" w:sz="0" w:space="0" w:color="auto"/>
            <w:right w:val="none" w:sz="0" w:space="0" w:color="auto"/>
          </w:divBdr>
        </w:div>
        <w:div w:id="1833521164">
          <w:marLeft w:val="0"/>
          <w:marRight w:val="0"/>
          <w:marTop w:val="0"/>
          <w:marBottom w:val="200"/>
          <w:divBdr>
            <w:top w:val="none" w:sz="0" w:space="0" w:color="auto"/>
            <w:left w:val="none" w:sz="0" w:space="0" w:color="auto"/>
            <w:bottom w:val="none" w:sz="0" w:space="0" w:color="auto"/>
            <w:right w:val="none" w:sz="0" w:space="0" w:color="auto"/>
          </w:divBdr>
        </w:div>
        <w:div w:id="911233529">
          <w:marLeft w:val="0"/>
          <w:marRight w:val="0"/>
          <w:marTop w:val="0"/>
          <w:marBottom w:val="200"/>
          <w:divBdr>
            <w:top w:val="none" w:sz="0" w:space="0" w:color="auto"/>
            <w:left w:val="none" w:sz="0" w:space="0" w:color="auto"/>
            <w:bottom w:val="none" w:sz="0" w:space="0" w:color="auto"/>
            <w:right w:val="none" w:sz="0" w:space="0" w:color="auto"/>
          </w:divBdr>
        </w:div>
        <w:div w:id="1155995439">
          <w:marLeft w:val="0"/>
          <w:marRight w:val="0"/>
          <w:marTop w:val="0"/>
          <w:marBottom w:val="200"/>
          <w:divBdr>
            <w:top w:val="none" w:sz="0" w:space="0" w:color="auto"/>
            <w:left w:val="none" w:sz="0" w:space="0" w:color="auto"/>
            <w:bottom w:val="none" w:sz="0" w:space="0" w:color="auto"/>
            <w:right w:val="none" w:sz="0" w:space="0" w:color="auto"/>
          </w:divBdr>
        </w:div>
        <w:div w:id="75525335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1285</Words>
  <Characters>7326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pc</cp:lastModifiedBy>
  <cp:revision>29</cp:revision>
  <dcterms:created xsi:type="dcterms:W3CDTF">2016-11-04T17:59:00Z</dcterms:created>
  <dcterms:modified xsi:type="dcterms:W3CDTF">2016-11-17T13:57:00Z</dcterms:modified>
</cp:coreProperties>
</file>